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5B150211"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9259A0">
        <w:rPr>
          <w:rFonts w:cs="Arial"/>
          <w:b/>
          <w:sz w:val="22"/>
          <w:lang w:val="en-US"/>
        </w:rPr>
        <w:t>20</w:t>
      </w:r>
      <w:r>
        <w:rPr>
          <w:rFonts w:cs="Arial"/>
          <w:b/>
          <w:i/>
          <w:sz w:val="22"/>
          <w:lang w:val="en-US"/>
        </w:rPr>
        <w:tab/>
      </w:r>
      <w:r w:rsidR="001215BC" w:rsidRPr="001215BC">
        <w:rPr>
          <w:rFonts w:cs="Arial"/>
          <w:b/>
          <w:i/>
          <w:sz w:val="22"/>
          <w:lang w:val="en-US" w:eastAsia="zh-CN"/>
        </w:rPr>
        <w:t>R2-2211959</w:t>
      </w:r>
    </w:p>
    <w:p w14:paraId="3F17F203" w14:textId="72E77F88" w:rsidR="00FB3C9D" w:rsidRDefault="00330252">
      <w:pPr>
        <w:tabs>
          <w:tab w:val="left" w:pos="1701"/>
          <w:tab w:val="right" w:pos="9639"/>
        </w:tabs>
        <w:spacing w:after="0"/>
        <w:rPr>
          <w:rFonts w:cs="Arial"/>
          <w:b/>
          <w:color w:val="000000"/>
          <w:sz w:val="24"/>
        </w:rPr>
      </w:pPr>
      <w:r w:rsidRPr="00F0523D">
        <w:rPr>
          <w:rFonts w:cs="Arial"/>
          <w:b/>
          <w:sz w:val="22"/>
          <w:lang w:val="en-US"/>
        </w:rPr>
        <w:t>Toulouse, France, November 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E7C249"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527BDE">
        <w:rPr>
          <w:sz w:val="22"/>
        </w:rPr>
        <w:t>2</w:t>
      </w:r>
      <w:r w:rsidR="00E148B4">
        <w:rPr>
          <w:sz w:val="22"/>
        </w:rPr>
        <w:t>.</w:t>
      </w:r>
      <w:r w:rsidR="007225D7">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F77F7CD" w:rsidR="00FB3C9D" w:rsidRDefault="003D1DDD">
      <w:pPr>
        <w:pStyle w:val="3GPPHeader"/>
        <w:rPr>
          <w:sz w:val="22"/>
        </w:rPr>
      </w:pPr>
      <w:r>
        <w:rPr>
          <w:sz w:val="22"/>
        </w:rPr>
        <w:t>Title:</w:t>
      </w:r>
      <w:r>
        <w:rPr>
          <w:sz w:val="22"/>
        </w:rPr>
        <w:tab/>
        <w:t>Discussion on</w:t>
      </w:r>
      <w:r w:rsidR="00A6084B">
        <w:rPr>
          <w:sz w:val="22"/>
        </w:rPr>
        <w:t xml:space="preserve"> PDU </w:t>
      </w:r>
      <w:r w:rsidR="007735BE">
        <w:rPr>
          <w:sz w:val="22"/>
        </w:rPr>
        <w:t>discard</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4DA16F6" w14:textId="5C8B311D" w:rsidR="009124C7" w:rsidRDefault="00366D15" w:rsidP="009124C7">
      <w:r>
        <w:rPr>
          <w:rFonts w:eastAsiaTheme="minorEastAsia"/>
        </w:rPr>
        <w:t xml:space="preserve">This paper will provide our considerations on </w:t>
      </w:r>
      <w:r w:rsidR="009902C2">
        <w:rPr>
          <w:rFonts w:eastAsiaTheme="minorEastAsia"/>
        </w:rPr>
        <w:t xml:space="preserve">PDU </w:t>
      </w:r>
      <w:r w:rsidR="0097174B">
        <w:rPr>
          <w:rFonts w:eastAsiaTheme="minorEastAsia"/>
        </w:rPr>
        <w:t>discard</w:t>
      </w:r>
      <w:r w:rsidR="009124C7">
        <w:rPr>
          <w:rFonts w:hint="eastAsia"/>
        </w:rPr>
        <w:t>,</w:t>
      </w:r>
      <w:r w:rsidR="009124C7">
        <w:t xml:space="preserve"> for which </w:t>
      </w:r>
      <w:r w:rsidR="003E137E">
        <w:t xml:space="preserve">the previous RAN2 meetings </w:t>
      </w:r>
      <w:r w:rsidR="009124C7">
        <w:t>reached the following agreements</w:t>
      </w:r>
      <w:r w:rsidR="005D73E2">
        <w:rPr>
          <w:rFonts w:hint="eastAsia"/>
        </w:rPr>
        <w:t>.</w:t>
      </w:r>
    </w:p>
    <w:p w14:paraId="195B255C" w14:textId="77777777"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assumes that </w:t>
      </w:r>
      <w:bookmarkStart w:id="6" w:name="_Hlk114688221"/>
      <w:r w:rsidRPr="00C96783">
        <w:rPr>
          <w:sz w:val="20"/>
          <w:szCs w:val="20"/>
        </w:rPr>
        <w:t>PDU Set based parameters and PDU Set related information</w:t>
      </w:r>
      <w:bookmarkEnd w:id="6"/>
      <w:r w:rsidRPr="00C96783">
        <w:rPr>
          <w:sz w:val="20"/>
          <w:szCs w:val="20"/>
        </w:rPr>
        <w:t xml:space="preserve"> may be used for better support of XR services. RAN2 can consider both UL and DL directions.</w:t>
      </w:r>
    </w:p>
    <w:p w14:paraId="58B500C7" w14:textId="77777777"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RAN2 will study PDU Set based parameters and PDU Set related information handling in Network and UE</w:t>
      </w:r>
    </w:p>
    <w:p w14:paraId="388EF75C" w14:textId="33DEA346"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to adopt the current SA2 definition of PDU Set as an application media unit as working assumption, subjected to further guidance from SA2 and SA4. </w:t>
      </w:r>
    </w:p>
    <w:p w14:paraId="1AA72C86" w14:textId="77777777" w:rsidR="00C96783" w:rsidRPr="00C96783"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XR awareness discussion in RAN2 should consider PDU set characteristics and how to use the information available on those (for UL and/or DL). Can also consider how to handle data bursts.</w:t>
      </w:r>
    </w:p>
    <w:p w14:paraId="1A63C4C2" w14:textId="77777777" w:rsidR="00C96783" w:rsidRPr="00001A55"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can </w:t>
      </w:r>
      <w:r w:rsidRPr="00001A55">
        <w:rPr>
          <w:sz w:val="20"/>
          <w:szCs w:val="20"/>
        </w:rPr>
        <w:t>study e.g. periodicity, arrival time, jitter and frame-size variations for XR awareness to enable power savings and capacity enhancements. Can study also how often such parameters change (i.e. how dynamic they are).</w:t>
      </w:r>
    </w:p>
    <w:p w14:paraId="0080032C" w14:textId="593F0927" w:rsidR="00C96783" w:rsidRPr="00001A55"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001A55">
        <w:rPr>
          <w:sz w:val="20"/>
          <w:szCs w:val="20"/>
        </w:rPr>
        <w:t>RAN2 can consider how PDU sets can be mapped to DRBs (FFS if SA2 discussion on PDU set mapping to QoS (sub-)flows impacts this)</w:t>
      </w:r>
    </w:p>
    <w:p w14:paraId="6450FB22" w14:textId="77777777" w:rsidR="004E1777" w:rsidRPr="00001A55" w:rsidRDefault="004E1777" w:rsidP="004E1777">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001A55">
        <w:rPr>
          <w:sz w:val="20"/>
          <w:szCs w:val="20"/>
        </w:rPr>
        <w:t xml:space="preserve">1. For UE transmitter, the PDCP discard should be performed per PDU set basis. </w:t>
      </w:r>
    </w:p>
    <w:p w14:paraId="11BF3DE4" w14:textId="77777777" w:rsidR="004E1777" w:rsidRPr="00D23534" w:rsidRDefault="004E1777" w:rsidP="004E1777">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001A55">
        <w:rPr>
          <w:sz w:val="20"/>
          <w:szCs w:val="20"/>
        </w:rPr>
        <w:t>2. For UE transmitter, The PDCP discard is</w:t>
      </w:r>
      <w:r w:rsidRPr="00D23534">
        <w:rPr>
          <w:sz w:val="20"/>
          <w:szCs w:val="20"/>
        </w:rPr>
        <w:t xml:space="preserve"> managed per SDU for PDU set, the PDCP entity discards all PDCP SDUs associated with the PDU set.</w:t>
      </w:r>
    </w:p>
    <w:p w14:paraId="624F00F8" w14:textId="77777777" w:rsidR="001B1BD4" w:rsidRPr="001B1BD4" w:rsidRDefault="001B1BD4" w:rsidP="001B1BD4">
      <w:pPr>
        <w:pStyle w:val="Doc-text2"/>
      </w:pPr>
    </w:p>
    <w:p w14:paraId="44D5DC77" w14:textId="563C25E1" w:rsidR="00041594" w:rsidRPr="0000329D" w:rsidRDefault="003D1DDD" w:rsidP="00E54656">
      <w:pPr>
        <w:rPr>
          <w:rFonts w:eastAsia="Batang"/>
          <w:lang w:eastAsia="ko-KR"/>
        </w:rPr>
      </w:pPr>
      <w:r>
        <w:rPr>
          <w:lang w:eastAsia="ko-KR"/>
        </w:rPr>
        <w:t xml:space="preserve"> </w:t>
      </w:r>
      <w:bookmarkEnd w:id="5"/>
    </w:p>
    <w:p w14:paraId="0440FABE" w14:textId="317468C1" w:rsidR="00FB3C9D" w:rsidRDefault="003D1DDD">
      <w:pPr>
        <w:pStyle w:val="1"/>
      </w:pPr>
      <w:r>
        <w:t>Discussion</w:t>
      </w:r>
    </w:p>
    <w:p w14:paraId="65B2781C" w14:textId="77777777" w:rsidR="003D1A62" w:rsidRDefault="003D1A62" w:rsidP="003D1A62">
      <w:r>
        <w:t xml:space="preserve">For the XR service, SA2 studies </w:t>
      </w:r>
      <w:r w:rsidRPr="00FF7677">
        <w:t>KI#4&amp;5</w:t>
      </w:r>
      <w:r>
        <w:t xml:space="preserve"> which are related to the PDU Set support and concludes to deliver the following PDU Set QoS information to the AS layer for the PDU Set handling. </w:t>
      </w:r>
    </w:p>
    <w:p w14:paraId="393DFD2D" w14:textId="77777777" w:rsidR="00C0514F" w:rsidRPr="004664E1" w:rsidRDefault="00C0514F" w:rsidP="00C0514F">
      <w:pPr>
        <w:pStyle w:val="4"/>
        <w:numPr>
          <w:ilvl w:val="0"/>
          <w:numId w:val="0"/>
        </w:numPr>
        <w:ind w:left="864" w:hanging="864"/>
        <w:rPr>
          <w:i/>
          <w:sz w:val="16"/>
          <w:szCs w:val="16"/>
          <w:lang w:val="en-US" w:eastAsia="en-US"/>
        </w:rPr>
      </w:pPr>
      <w:r w:rsidRPr="004664E1">
        <w:rPr>
          <w:i/>
          <w:sz w:val="16"/>
          <w:szCs w:val="16"/>
          <w:lang w:val="en-US" w:eastAsia="en-US"/>
        </w:rPr>
        <w:t>8.x.1.1</w:t>
      </w:r>
      <w:r w:rsidRPr="004664E1">
        <w:rPr>
          <w:i/>
          <w:sz w:val="16"/>
          <w:szCs w:val="16"/>
          <w:lang w:val="en-US" w:eastAsia="en-US"/>
        </w:rPr>
        <w:tab/>
        <w:t>PDU Set QoS Parameters</w:t>
      </w:r>
    </w:p>
    <w:p w14:paraId="1A267161" w14:textId="77777777" w:rsidR="00C0514F" w:rsidRPr="004664E1" w:rsidRDefault="00C0514F" w:rsidP="00C0514F">
      <w:pPr>
        <w:rPr>
          <w:rFonts w:eastAsia="等线"/>
          <w:i/>
          <w:sz w:val="16"/>
          <w:szCs w:val="16"/>
        </w:rPr>
      </w:pPr>
      <w:r w:rsidRPr="004664E1">
        <w:rPr>
          <w:rFonts w:eastAsia="等线"/>
          <w:i/>
          <w:sz w:val="16"/>
          <w:szCs w:val="16"/>
        </w:rPr>
        <w:t>PDU Set QoS treatment is determined using dynamic or non-dynamic PCC.</w:t>
      </w:r>
    </w:p>
    <w:p w14:paraId="4FD85B65" w14:textId="77777777" w:rsidR="00C0514F" w:rsidRPr="004664E1" w:rsidRDefault="00C0514F" w:rsidP="00C0514F">
      <w:pPr>
        <w:rPr>
          <w:i/>
          <w:sz w:val="16"/>
          <w:szCs w:val="16"/>
          <w:lang w:val="en-US" w:eastAsia="en-US"/>
        </w:rPr>
      </w:pPr>
      <w:r w:rsidRPr="004664E1">
        <w:rPr>
          <w:i/>
          <w:sz w:val="16"/>
          <w:szCs w:val="16"/>
          <w:lang w:val="en-US" w:eastAsia="en-US"/>
        </w:rPr>
        <w:t>The following PDU Set QoS parameters are defined to support PDU Set handling:</w:t>
      </w:r>
    </w:p>
    <w:p w14:paraId="3A3724A2" w14:textId="77777777" w:rsidR="00C0514F" w:rsidRPr="004664E1" w:rsidRDefault="00C0514F" w:rsidP="00C0514F">
      <w:pPr>
        <w:pStyle w:val="B1"/>
        <w:rPr>
          <w:i/>
          <w:sz w:val="16"/>
          <w:szCs w:val="16"/>
        </w:rPr>
      </w:pPr>
      <w:r w:rsidRPr="004664E1">
        <w:rPr>
          <w:i/>
          <w:sz w:val="16"/>
          <w:szCs w:val="16"/>
          <w:lang w:val="en-US"/>
        </w:rPr>
        <w:t>-  PDU Set Error Rate:</w:t>
      </w:r>
      <w:r w:rsidRPr="004664E1">
        <w:rPr>
          <w:b/>
          <w:bCs/>
          <w:i/>
          <w:sz w:val="16"/>
          <w:szCs w:val="16"/>
          <w:lang w:val="en-US" w:eastAsia="ko-KR"/>
        </w:rPr>
        <w:t xml:space="preserve"> </w:t>
      </w:r>
      <w:r w:rsidRPr="004664E1">
        <w:rPr>
          <w:i/>
          <w:sz w:val="16"/>
          <w:szCs w:val="16"/>
        </w:rPr>
        <w:t>The P</w:t>
      </w:r>
      <w:r w:rsidRPr="004664E1">
        <w:rPr>
          <w:i/>
          <w:sz w:val="16"/>
          <w:szCs w:val="16"/>
          <w:lang w:val="en-US"/>
        </w:rPr>
        <w:t>SER</w:t>
      </w:r>
      <w:r w:rsidRPr="004664E1">
        <w:rPr>
          <w:i/>
          <w:sz w:val="16"/>
          <w:szCs w:val="16"/>
        </w:rPr>
        <w:t xml:space="preserve"> defines an upper bound for the ratio between the number of PDU Sets not successfully received and the total number of PDU Sets sent towards a recipient measured over a measurement window. </w:t>
      </w:r>
    </w:p>
    <w:p w14:paraId="708526C0" w14:textId="77777777" w:rsidR="00C0514F" w:rsidRPr="004664E1" w:rsidRDefault="00C0514F" w:rsidP="00C0514F">
      <w:pPr>
        <w:pStyle w:val="EditorsNote"/>
        <w:rPr>
          <w:i/>
          <w:sz w:val="16"/>
          <w:szCs w:val="16"/>
        </w:rPr>
      </w:pPr>
      <w:r w:rsidRPr="004664E1">
        <w:rPr>
          <w:i/>
          <w:sz w:val="16"/>
          <w:szCs w:val="16"/>
        </w:rPr>
        <w:t xml:space="preserve">Editor’s Note: the criteria for determining whether a PDU Set is successfully delivered or not are FFS </w:t>
      </w:r>
    </w:p>
    <w:p w14:paraId="3F2C9407" w14:textId="77777777" w:rsidR="00C0514F" w:rsidRPr="00320AB2" w:rsidRDefault="00C0514F" w:rsidP="00C0514F">
      <w:pPr>
        <w:pStyle w:val="B1"/>
        <w:rPr>
          <w:i/>
          <w:sz w:val="16"/>
          <w:szCs w:val="16"/>
          <w:lang w:eastAsia="ko-KR"/>
        </w:rPr>
      </w:pPr>
      <w:r w:rsidRPr="00320AB2">
        <w:rPr>
          <w:i/>
          <w:sz w:val="16"/>
          <w:szCs w:val="16"/>
          <w:lang w:val="en-US"/>
        </w:rPr>
        <w:t>-  PDU Set Delay Budget</w:t>
      </w:r>
    </w:p>
    <w:p w14:paraId="2C37A92F" w14:textId="77777777" w:rsidR="00C0514F" w:rsidRPr="004664E1" w:rsidRDefault="00C0514F" w:rsidP="00C0514F">
      <w:pPr>
        <w:pStyle w:val="EditorsNote"/>
        <w:rPr>
          <w:i/>
          <w:sz w:val="16"/>
          <w:szCs w:val="16"/>
          <w:lang w:eastAsia="ko-KR"/>
        </w:rPr>
      </w:pPr>
      <w:r w:rsidRPr="004664E1">
        <w:rPr>
          <w:i/>
          <w:sz w:val="16"/>
          <w:szCs w:val="16"/>
        </w:rPr>
        <w:lastRenderedPageBreak/>
        <w:t>Editor’s Note: The definitions of PSER and PSDB are FFS. For PSDB, it needs further study the impact due to N6 jitter.</w:t>
      </w:r>
    </w:p>
    <w:p w14:paraId="6E624557" w14:textId="77777777" w:rsidR="00C0514F" w:rsidRPr="004664E1" w:rsidRDefault="00C0514F" w:rsidP="00C0514F">
      <w:pPr>
        <w:pStyle w:val="B1"/>
        <w:rPr>
          <w:i/>
          <w:sz w:val="16"/>
          <w:szCs w:val="16"/>
          <w:lang w:val="en-US"/>
        </w:rPr>
      </w:pPr>
      <w:r w:rsidRPr="002506CD">
        <w:rPr>
          <w:i/>
          <w:sz w:val="16"/>
          <w:szCs w:val="16"/>
          <w:highlight w:val="green"/>
          <w:lang w:val="en-US"/>
        </w:rPr>
        <w:t>-  Whether all PDUs are needed for the usage of PDU Set by application layer (PDU Set Integrated Indication).</w:t>
      </w:r>
    </w:p>
    <w:p w14:paraId="4B0B0F91" w14:textId="77777777" w:rsidR="00C0514F" w:rsidRPr="004664E1" w:rsidRDefault="00C0514F" w:rsidP="00C0514F">
      <w:pPr>
        <w:pStyle w:val="EditorsNote"/>
        <w:rPr>
          <w:i/>
          <w:sz w:val="16"/>
          <w:szCs w:val="16"/>
          <w:lang w:val="en-US"/>
        </w:rPr>
      </w:pPr>
      <w:r w:rsidRPr="004664E1">
        <w:rPr>
          <w:i/>
          <w:sz w:val="16"/>
          <w:szCs w:val="16"/>
        </w:rPr>
        <w:t>Editor’s Note: It is FFS “</w:t>
      </w:r>
      <w:r w:rsidRPr="004664E1">
        <w:rPr>
          <w:i/>
          <w:sz w:val="16"/>
          <w:szCs w:val="16"/>
          <w:lang w:val="en-US"/>
        </w:rPr>
        <w:t>Whether a PDU Set is still valid in case PSDB is exceeded” is needed. It should be discussed together with the definition of PSDB, specially about the boundary of PSDB.</w:t>
      </w:r>
    </w:p>
    <w:p w14:paraId="02611C59" w14:textId="77777777" w:rsidR="00C0514F" w:rsidRPr="004664E1" w:rsidRDefault="00C0514F" w:rsidP="00C0514F">
      <w:pPr>
        <w:rPr>
          <w:i/>
          <w:sz w:val="16"/>
          <w:szCs w:val="16"/>
        </w:rPr>
      </w:pPr>
      <w:r w:rsidRPr="004664E1">
        <w:rPr>
          <w:i/>
          <w:sz w:val="16"/>
          <w:szCs w:val="16"/>
          <w:lang w:val="en-US" w:eastAsia="en-US"/>
        </w:rPr>
        <w:t>If PDU Set based QoS handling is used, PCF determines the above PDU Set QoS Parameters based on information provided by AF (described in 8.X.2) and/or local configuration. The PDU Set QoS parameters are sent to SMF as part of PCC rule, then SMF sends them to RAN</w:t>
      </w:r>
    </w:p>
    <w:p w14:paraId="4682E51F" w14:textId="77E13920" w:rsidR="00C0514F" w:rsidRDefault="003210DC" w:rsidP="00DF6E26">
      <w:r>
        <w:t xml:space="preserve">Although the PDU Set QoS parameters </w:t>
      </w:r>
      <w:r w:rsidR="00095E77">
        <w:t>above</w:t>
      </w:r>
      <w:r>
        <w:t xml:space="preserve"> </w:t>
      </w:r>
      <w:r w:rsidR="00680F01">
        <w:t>are</w:t>
      </w:r>
      <w:r>
        <w:t xml:space="preserve"> described from the downlink perspective, we understand such PDU Set QoS parameters </w:t>
      </w:r>
      <w:r w:rsidR="00DB0ACF">
        <w:rPr>
          <w:rFonts w:hint="eastAsia"/>
        </w:rPr>
        <w:t>also</w:t>
      </w:r>
      <w:r w:rsidR="00DB0ACF">
        <w:t xml:space="preserve"> </w:t>
      </w:r>
      <w:r w:rsidR="00C41632">
        <w:t>apply</w:t>
      </w:r>
      <w:r w:rsidR="00DB0ACF">
        <w:t xml:space="preserve"> </w:t>
      </w:r>
      <w:r>
        <w:t>to the uplink</w:t>
      </w:r>
      <w:r w:rsidR="004A0FF9">
        <w:t xml:space="preserve">, i.e. </w:t>
      </w:r>
      <w:r w:rsidR="004A0FF9" w:rsidRPr="004A0FF9">
        <w:t>PDU Set Integrated Indication</w:t>
      </w:r>
      <w:r w:rsidR="004A0FF9">
        <w:t xml:space="preserve"> can be applicable for</w:t>
      </w:r>
      <w:r w:rsidR="0060368F">
        <w:t xml:space="preserve"> both</w:t>
      </w:r>
      <w:r w:rsidR="004A0FF9">
        <w:t xml:space="preserve"> uplink and downlink to </w:t>
      </w:r>
      <w:r w:rsidR="009019CD">
        <w:t>determine whether the remaining PDUs of a specific PDU Set should be discarded.</w:t>
      </w:r>
    </w:p>
    <w:p w14:paraId="5338EE46" w14:textId="770E6DC1" w:rsidR="00B55A3A" w:rsidRPr="0058672D" w:rsidRDefault="002D3432" w:rsidP="00DF6E26">
      <w:r>
        <w:rPr>
          <w:rFonts w:hint="eastAsia"/>
        </w:rPr>
        <w:t>A</w:t>
      </w:r>
      <w:r>
        <w:t xml:space="preserve">s the RAN can obtain </w:t>
      </w:r>
      <w:r w:rsidRPr="004A0FF9">
        <w:t>PDU Set Integrated Indication</w:t>
      </w:r>
      <w:r>
        <w:t xml:space="preserve"> from the CN</w:t>
      </w:r>
      <w:r w:rsidR="00521E28">
        <w:t xml:space="preserve"> and </w:t>
      </w:r>
      <w:r w:rsidR="00C41632">
        <w:t xml:space="preserve">considering </w:t>
      </w:r>
      <w:r w:rsidR="00654C4C">
        <w:t>R</w:t>
      </w:r>
      <w:r w:rsidR="00521E28">
        <w:t xml:space="preserve">AN2 already agrees UL PDU discard is operated in </w:t>
      </w:r>
      <w:r w:rsidR="00CC23DD">
        <w:t xml:space="preserve">the </w:t>
      </w:r>
      <w:r w:rsidR="00521E28">
        <w:t>UE transmitter</w:t>
      </w:r>
      <w:r>
        <w:t xml:space="preserve">, </w:t>
      </w:r>
      <w:r w:rsidR="00BD7C27">
        <w:t xml:space="preserve">we understand </w:t>
      </w:r>
      <w:r w:rsidR="00680058">
        <w:t xml:space="preserve">that </w:t>
      </w:r>
      <w:r w:rsidR="00BD7C27">
        <w:t xml:space="preserve">the UE can obtain </w:t>
      </w:r>
      <w:r w:rsidR="0049138D">
        <w:t xml:space="preserve">such </w:t>
      </w:r>
      <w:r w:rsidR="0049138D" w:rsidRPr="004A0FF9">
        <w:t>PDU Set Integrated Indication</w:t>
      </w:r>
      <w:r w:rsidR="0093024B">
        <w:t xml:space="preserve"> from the </w:t>
      </w:r>
      <w:proofErr w:type="spellStart"/>
      <w:r w:rsidR="0049138D">
        <w:t>gNB</w:t>
      </w:r>
      <w:proofErr w:type="spellEnd"/>
      <w:r w:rsidR="0049138D">
        <w:t xml:space="preserve"> </w:t>
      </w:r>
      <w:r w:rsidR="00970DAA">
        <w:t xml:space="preserve">for the uplink </w:t>
      </w:r>
      <w:r w:rsidR="0049138D">
        <w:t>PDU discard</w:t>
      </w:r>
      <w:r w:rsidR="00627F8D">
        <w:t xml:space="preserve"> mechanism</w:t>
      </w:r>
      <w:r w:rsidR="00B55A3A">
        <w:t>.</w:t>
      </w:r>
      <w:r w:rsidR="007A5A0C">
        <w:t xml:space="preserve"> </w:t>
      </w:r>
      <w:r w:rsidR="00745C56">
        <w:t xml:space="preserve">For example, if PDU Set </w:t>
      </w:r>
      <w:r w:rsidR="00745C56" w:rsidRPr="004A0FF9">
        <w:t>Integrated Indication</w:t>
      </w:r>
      <w:r w:rsidR="00745C56">
        <w:t xml:space="preserve"> is set as </w:t>
      </w:r>
      <w:r w:rsidR="009C2574">
        <w:t>False</w:t>
      </w:r>
      <w:r w:rsidR="00745C56">
        <w:t xml:space="preserve">, </w:t>
      </w:r>
      <w:r w:rsidR="009C2574">
        <w:t>the UE should try its best to deliver all PDUs of a PDU Set, otherwise</w:t>
      </w:r>
      <w:r w:rsidR="00A20476">
        <w:t>,</w:t>
      </w:r>
      <w:r w:rsidR="009C2574">
        <w:t xml:space="preserve"> </w:t>
      </w:r>
      <w:r w:rsidR="00F828BF">
        <w:t xml:space="preserve">the UE can discard the remaining PDUs of one PDU Set if </w:t>
      </w:r>
      <w:r w:rsidR="00EB0285">
        <w:t xml:space="preserve">some PDU of this PDU Set </w:t>
      </w:r>
      <w:r w:rsidR="000D2143">
        <w:t>is</w:t>
      </w:r>
      <w:r w:rsidR="00EB0285">
        <w:t xml:space="preserve"> considered lost. </w:t>
      </w:r>
    </w:p>
    <w:p w14:paraId="008F058E" w14:textId="0E689821" w:rsidR="00745C56" w:rsidRDefault="0089431C" w:rsidP="00745C56">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18464937"/>
      <w:r>
        <w:t xml:space="preserve">SA2 </w:t>
      </w:r>
      <w:r w:rsidR="007615FF">
        <w:t xml:space="preserve">has </w:t>
      </w:r>
      <w:r>
        <w:t>conclude</w:t>
      </w:r>
      <w:r w:rsidR="007615FF">
        <w:t xml:space="preserve">d that </w:t>
      </w:r>
      <w:r w:rsidRPr="004A0FF9">
        <w:t>PDU Set Integrated Indication</w:t>
      </w:r>
      <w:r>
        <w:t xml:space="preserve"> </w:t>
      </w:r>
      <w:r w:rsidR="00B76C68">
        <w:t xml:space="preserve">is introduced to </w:t>
      </w:r>
      <w:r>
        <w:t xml:space="preserve">indicate whether all PDUs of </w:t>
      </w:r>
      <w:r w:rsidR="00FF0F5B">
        <w:t xml:space="preserve">a </w:t>
      </w:r>
      <w:r>
        <w:t xml:space="preserve">PDU Set </w:t>
      </w:r>
      <w:r w:rsidR="00354AED">
        <w:t>are</w:t>
      </w:r>
      <w:r>
        <w:t xml:space="preserve"> needed</w:t>
      </w:r>
      <w:r w:rsidR="00F726A2">
        <w:rPr>
          <w:rFonts w:hint="eastAsia"/>
        </w:rPr>
        <w:t>.</w:t>
      </w:r>
      <w:r w:rsidR="00F726A2">
        <w:t xml:space="preserve"> </w:t>
      </w:r>
      <w:r w:rsidR="007615FF">
        <w:t>Such</w:t>
      </w:r>
      <w:r w:rsidR="00F726A2">
        <w:t xml:space="preserve"> indication</w:t>
      </w:r>
      <w:r>
        <w:t xml:space="preserve"> in our understanding can be used for </w:t>
      </w:r>
      <w:r w:rsidR="009913DF">
        <w:t xml:space="preserve">the </w:t>
      </w:r>
      <w:r>
        <w:t>PDU Set discard</w:t>
      </w:r>
      <w:r w:rsidR="00745C56">
        <w:t>.</w:t>
      </w:r>
      <w:bookmarkEnd w:id="7"/>
      <w:r w:rsidR="00745C56">
        <w:t xml:space="preserve"> </w:t>
      </w:r>
    </w:p>
    <w:p w14:paraId="5557FFBD" w14:textId="0B567670" w:rsidR="00337666" w:rsidRDefault="00DA7BF6" w:rsidP="00745C56">
      <w:pPr>
        <w:pStyle w:val="Proposal"/>
      </w:pPr>
      <w:bookmarkStart w:id="8" w:name="_Toc118464935"/>
      <w:r>
        <w:t xml:space="preserve">As </w:t>
      </w:r>
      <w:r w:rsidR="00337666">
        <w:t xml:space="preserve">the uplink </w:t>
      </w:r>
      <w:r w:rsidR="005B0408">
        <w:t>transmitter</w:t>
      </w:r>
      <w:r w:rsidR="00337666">
        <w:t xml:space="preserve">, </w:t>
      </w:r>
      <w:r>
        <w:t xml:space="preserve">the UE can obtain </w:t>
      </w:r>
      <w:r w:rsidRPr="004A0FF9">
        <w:t>PDU Set Integrated Indication</w:t>
      </w:r>
      <w:r>
        <w:t xml:space="preserve"> from the </w:t>
      </w:r>
      <w:proofErr w:type="spellStart"/>
      <w:r>
        <w:t>gNB</w:t>
      </w:r>
      <w:proofErr w:type="spellEnd"/>
      <w:r>
        <w:t xml:space="preserve"> to determine whether to enable PDU Set discard. In detail, if </w:t>
      </w:r>
      <w:r w:rsidRPr="004A0FF9">
        <w:t>PDU Set Integrated Indication</w:t>
      </w:r>
      <w:r>
        <w:t xml:space="preserve"> is set as True, the UE can </w:t>
      </w:r>
      <w:r w:rsidR="00AD5CB2">
        <w:t xml:space="preserve">discard the </w:t>
      </w:r>
      <w:r w:rsidR="00AD5CB2" w:rsidRPr="009D73E0">
        <w:t xml:space="preserve">remaining PDUs of a PDU set if </w:t>
      </w:r>
      <w:r w:rsidR="00CB7C5E">
        <w:t xml:space="preserve">some </w:t>
      </w:r>
      <w:r w:rsidR="00AD5CB2" w:rsidRPr="009D73E0">
        <w:t>PDU of that PDU Set is known as lost</w:t>
      </w:r>
      <w:r w:rsidR="004A0441">
        <w:t xml:space="preserve">, otherwise, the UE can continue the PDU </w:t>
      </w:r>
      <w:r w:rsidR="00EC12AC">
        <w:t>transmission</w:t>
      </w:r>
      <w:r w:rsidR="00AD5CB2" w:rsidRPr="009D73E0">
        <w:t>.</w:t>
      </w:r>
      <w:bookmarkEnd w:id="8"/>
      <w:r w:rsidR="00AD5CB2" w:rsidRPr="009D73E0">
        <w:t xml:space="preserve"> </w:t>
      </w:r>
    </w:p>
    <w:p w14:paraId="2BCFA697" w14:textId="652BD6C6" w:rsidR="00C0514F" w:rsidRDefault="00075C6B" w:rsidP="00DF6E26">
      <w:r>
        <w:t xml:space="preserve">In </w:t>
      </w:r>
      <w:r w:rsidR="00DC261A">
        <w:t xml:space="preserve">the </w:t>
      </w:r>
      <w:r>
        <w:t xml:space="preserve">RAN2#119bis-e meeting, </w:t>
      </w:r>
      <w:r w:rsidR="00DC261A">
        <w:t xml:space="preserve">RAN2 agrees to support </w:t>
      </w:r>
      <w:r w:rsidR="00C41094">
        <w:t>the PDU discard</w:t>
      </w:r>
      <w:r w:rsidR="00CB549F">
        <w:t xml:space="preserve">. The PDU discard is </w:t>
      </w:r>
      <w:r w:rsidR="00C41094">
        <w:t>operat</w:t>
      </w:r>
      <w:r>
        <w:t>e</w:t>
      </w:r>
      <w:r w:rsidR="00DC261A">
        <w:t>d</w:t>
      </w:r>
      <w:r w:rsidR="00C41094">
        <w:t xml:space="preserve"> </w:t>
      </w:r>
      <w:r w:rsidR="00A20DCA">
        <w:t>in</w:t>
      </w:r>
      <w:r w:rsidR="00C41094">
        <w:t xml:space="preserve"> the</w:t>
      </w:r>
      <w:r w:rsidR="00DC261A">
        <w:t xml:space="preserve"> PDCP</w:t>
      </w:r>
      <w:r w:rsidR="00C41094">
        <w:t xml:space="preserve"> transmit</w:t>
      </w:r>
      <w:r w:rsidR="00DC261A">
        <w:t>ting entity</w:t>
      </w:r>
      <w:r w:rsidR="00A3124A">
        <w:t xml:space="preserve">. </w:t>
      </w:r>
      <w:r w:rsidR="000B09E5">
        <w:t xml:space="preserve">According to the </w:t>
      </w:r>
      <w:r w:rsidR="008D4C5A">
        <w:t>current</w:t>
      </w:r>
      <w:r w:rsidR="000B09E5">
        <w:t xml:space="preserve"> spec, </w:t>
      </w:r>
      <w:r w:rsidR="00D9744E">
        <w:t xml:space="preserve">both </w:t>
      </w:r>
      <w:r w:rsidR="00BD573B">
        <w:t xml:space="preserve">the </w:t>
      </w:r>
      <w:r w:rsidR="00D9744E">
        <w:t xml:space="preserve">PDCP </w:t>
      </w:r>
      <w:r w:rsidR="00BD573B">
        <w:t xml:space="preserve">layer </w:t>
      </w:r>
      <w:r w:rsidR="00D9744E">
        <w:t xml:space="preserve">and </w:t>
      </w:r>
      <w:r w:rsidR="00BD573B">
        <w:t xml:space="preserve">the </w:t>
      </w:r>
      <w:r w:rsidR="00D9744E">
        <w:t>RLC layer</w:t>
      </w:r>
      <w:r w:rsidR="00DB0B69">
        <w:t xml:space="preserve"> </w:t>
      </w:r>
      <w:r w:rsidR="00D9744E">
        <w:t xml:space="preserve">need to </w:t>
      </w:r>
      <w:r w:rsidR="00AF4DEE">
        <w:t>respond</w:t>
      </w:r>
      <w:r w:rsidR="00587AC2">
        <w:t>/be triggered</w:t>
      </w:r>
      <w:r w:rsidR="00851D7E">
        <w:t xml:space="preserve"> once </w:t>
      </w:r>
      <w:r w:rsidR="00510091">
        <w:t xml:space="preserve">there is a need to discard </w:t>
      </w:r>
      <w:r w:rsidR="00851D7E">
        <w:t>PDU</w:t>
      </w:r>
      <w:r w:rsidR="00AF4DEE">
        <w:t>.</w:t>
      </w:r>
    </w:p>
    <w:p w14:paraId="3BE39663" w14:textId="245637A9" w:rsidR="00660B1D" w:rsidRDefault="00660B1D" w:rsidP="00660B1D">
      <w:r>
        <w:rPr>
          <w:rFonts w:hint="eastAsia"/>
        </w:rPr>
        <w:t>I</w:t>
      </w:r>
      <w:r>
        <w:t>n TS 38.323</w:t>
      </w:r>
    </w:p>
    <w:p w14:paraId="250D2929" w14:textId="77777777" w:rsidR="00660B1D" w:rsidRDefault="00660B1D" w:rsidP="00660B1D">
      <w:pPr>
        <w:rPr>
          <w:lang w:eastAsia="ja-JP"/>
        </w:rPr>
      </w:pPr>
      <w:r>
        <w:rPr>
          <w:noProof/>
        </w:rPr>
        <w:drawing>
          <wp:inline distT="0" distB="0" distL="0" distR="0" wp14:anchorId="7786A40D" wp14:editId="03506D01">
            <wp:extent cx="4894518" cy="53469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7483" cy="564515"/>
                    </a:xfrm>
                    <a:prstGeom prst="rect">
                      <a:avLst/>
                    </a:prstGeom>
                  </pic:spPr>
                </pic:pic>
              </a:graphicData>
            </a:graphic>
          </wp:inline>
        </w:drawing>
      </w:r>
    </w:p>
    <w:p w14:paraId="422BC0F5" w14:textId="58BF3F1B" w:rsidR="00553DBF" w:rsidRDefault="00553DBF" w:rsidP="00553DBF">
      <w:r>
        <w:rPr>
          <w:rFonts w:hint="eastAsia"/>
        </w:rPr>
        <w:t>I</w:t>
      </w:r>
      <w:r>
        <w:t>n TS 38.322</w:t>
      </w:r>
    </w:p>
    <w:p w14:paraId="4B0C25AC" w14:textId="58402BD8" w:rsidR="00AF4DEE" w:rsidRPr="00660B1D" w:rsidRDefault="009B444A" w:rsidP="00DF6E26">
      <w:r>
        <w:rPr>
          <w:noProof/>
        </w:rPr>
        <w:drawing>
          <wp:inline distT="0" distB="0" distL="0" distR="0" wp14:anchorId="30DEDE0D" wp14:editId="3E3E0F46">
            <wp:extent cx="4956199" cy="5584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1774" cy="565790"/>
                    </a:xfrm>
                    <a:prstGeom prst="rect">
                      <a:avLst/>
                    </a:prstGeom>
                  </pic:spPr>
                </pic:pic>
              </a:graphicData>
            </a:graphic>
          </wp:inline>
        </w:drawing>
      </w:r>
    </w:p>
    <w:p w14:paraId="4CCA96F8" w14:textId="7E4E160F" w:rsidR="00B348F1" w:rsidRDefault="00DE462B" w:rsidP="00DF6E26">
      <w:r>
        <w:t xml:space="preserve">Based on the above, </w:t>
      </w:r>
      <w:r w:rsidR="00800FAE">
        <w:t>although the PDCP layer indicate</w:t>
      </w:r>
      <w:r w:rsidR="00854590">
        <w:t>s</w:t>
      </w:r>
      <w:r w:rsidR="00800FAE">
        <w:t xml:space="preserve"> the RLC layer to discard the associated SDU, </w:t>
      </w:r>
      <w:r w:rsidR="00A146A2">
        <w:rPr>
          <w:rFonts w:hint="eastAsia"/>
        </w:rPr>
        <w:t>the</w:t>
      </w:r>
      <w:r w:rsidR="00A146A2">
        <w:t xml:space="preserve"> </w:t>
      </w:r>
      <w:r w:rsidR="00453C89">
        <w:t>discard of the corresponding</w:t>
      </w:r>
      <w:r w:rsidR="00B348F1">
        <w:t xml:space="preserve"> RLC SDU </w:t>
      </w:r>
      <w:r w:rsidR="00182A73">
        <w:t>a</w:t>
      </w:r>
      <w:r w:rsidR="00B348F1">
        <w:t>ctually</w:t>
      </w:r>
      <w:r w:rsidR="00E47D6D">
        <w:t xml:space="preserve"> happens</w:t>
      </w:r>
      <w:r w:rsidR="00B348F1">
        <w:t xml:space="preserve"> </w:t>
      </w:r>
      <w:r w:rsidR="00A146A2">
        <w:rPr>
          <w:rFonts w:hint="eastAsia"/>
        </w:rPr>
        <w:t>only</w:t>
      </w:r>
      <w:r w:rsidR="00453C89">
        <w:t xml:space="preserve"> when</w:t>
      </w:r>
      <w:r w:rsidR="00B348F1">
        <w:t xml:space="preserve"> neither the RLC SDU nor a segment has been submitted to the lower layer.</w:t>
      </w:r>
      <w:r w:rsidR="00FE1D14">
        <w:t xml:space="preserve"> We understand the current mechanism may not benefit </w:t>
      </w:r>
      <w:r w:rsidR="00543F3B">
        <w:t xml:space="preserve">as we expected on </w:t>
      </w:r>
      <w:r w:rsidR="00FE1D14">
        <w:t>efficient resource usage</w:t>
      </w:r>
      <w:r w:rsidR="00634996">
        <w:t xml:space="preserve"> but it </w:t>
      </w:r>
      <w:r w:rsidR="008843F4">
        <w:t>reduce</w:t>
      </w:r>
      <w:r w:rsidR="000041CC">
        <w:t>s</w:t>
      </w:r>
      <w:r w:rsidR="008843F4">
        <w:t xml:space="preserve"> the impact </w:t>
      </w:r>
      <w:r w:rsidR="00A25184">
        <w:t>as much as possible</w:t>
      </w:r>
      <w:r w:rsidR="001872AD">
        <w:t xml:space="preserve"> on both the transmitter and receiver</w:t>
      </w:r>
      <w:r w:rsidR="00FE1D14">
        <w:t>.</w:t>
      </w:r>
      <w:r w:rsidR="007667E9">
        <w:t xml:space="preserve"> From this perspective, we prefer RAN2 </w:t>
      </w:r>
      <w:r w:rsidR="00A146A2">
        <w:t xml:space="preserve">to </w:t>
      </w:r>
      <w:r w:rsidR="007667E9">
        <w:t xml:space="preserve">evaluate whether </w:t>
      </w:r>
      <w:r w:rsidR="00A146A2">
        <w:t xml:space="preserve">the </w:t>
      </w:r>
      <w:r w:rsidR="007667E9">
        <w:t>current SDU discard is</w:t>
      </w:r>
      <w:r w:rsidR="0003754F">
        <w:t xml:space="preserve"> indeed</w:t>
      </w:r>
      <w:r w:rsidR="008757E7">
        <w:t xml:space="preserve"> </w:t>
      </w:r>
      <w:r w:rsidR="00454513">
        <w:t>in</w:t>
      </w:r>
      <w:r w:rsidR="007667E9">
        <w:t>sufficient</w:t>
      </w:r>
      <w:r w:rsidR="00A146A2">
        <w:t>,</w:t>
      </w:r>
      <w:r w:rsidR="0013500B">
        <w:t xml:space="preserve"> i.e. </w:t>
      </w:r>
      <w:r w:rsidR="00A146A2">
        <w:t>whether the RLC entity needs to discard the SDU even if th</w:t>
      </w:r>
      <w:r w:rsidR="00161EB1">
        <w:t>is</w:t>
      </w:r>
      <w:r w:rsidR="00A146A2">
        <w:t xml:space="preserve"> p</w:t>
      </w:r>
      <w:r w:rsidR="00A146A2" w:rsidRPr="00A146A2">
        <w:t>acket ha</w:t>
      </w:r>
      <w:r w:rsidR="009F5539">
        <w:t>s</w:t>
      </w:r>
      <w:r w:rsidR="00A146A2" w:rsidRPr="00A146A2">
        <w:t xml:space="preserve"> been </w:t>
      </w:r>
      <w:r w:rsidR="00A74D9E">
        <w:t xml:space="preserve">delivered </w:t>
      </w:r>
      <w:r w:rsidR="00A146A2" w:rsidRPr="00A146A2">
        <w:t xml:space="preserve">to </w:t>
      </w:r>
      <w:r w:rsidR="00EE791B">
        <w:t xml:space="preserve">the </w:t>
      </w:r>
      <w:r w:rsidR="00A146A2" w:rsidRPr="00A146A2">
        <w:t>lower layer</w:t>
      </w:r>
      <w:r w:rsidR="00CB421C">
        <w:t xml:space="preserve">. If </w:t>
      </w:r>
      <w:r w:rsidR="0013500B">
        <w:t xml:space="preserve">RAN2 agrees on the RLC enhancement, RAN2 would further discuss </w:t>
      </w:r>
      <w:r w:rsidR="00E30D5E">
        <w:t xml:space="preserve">the impact on the </w:t>
      </w:r>
      <w:r w:rsidR="00D944EC">
        <w:t>receiving window.</w:t>
      </w:r>
    </w:p>
    <w:p w14:paraId="410F012C" w14:textId="77777777" w:rsidR="0063392B" w:rsidRDefault="00A6357F" w:rsidP="00A6357F">
      <w:pPr>
        <w:pStyle w:val="Proposal"/>
      </w:pPr>
      <w:bookmarkStart w:id="9" w:name="_Toc118464936"/>
      <w:r>
        <w:t xml:space="preserve">RAN2 discusses whether to keep the current SDU discard rule, i.e. </w:t>
      </w:r>
      <w:r w:rsidR="0063392B" w:rsidRPr="0063392B">
        <w:t xml:space="preserve">the </w:t>
      </w:r>
      <w:r w:rsidR="0063392B">
        <w:t xml:space="preserve">RLC SDU </w:t>
      </w:r>
      <w:r w:rsidR="0063392B" w:rsidRPr="0063392B">
        <w:t xml:space="preserve">to be discarded </w:t>
      </w:r>
      <w:r w:rsidR="0063392B">
        <w:t xml:space="preserve">should be the one that </w:t>
      </w:r>
      <w:r w:rsidR="0063392B" w:rsidRPr="0063392B">
        <w:t>ha</w:t>
      </w:r>
      <w:r w:rsidR="0063392B">
        <w:t>s</w:t>
      </w:r>
      <w:r w:rsidR="0063392B" w:rsidRPr="0063392B">
        <w:t xml:space="preserve"> not been yet </w:t>
      </w:r>
      <w:r w:rsidR="0063392B">
        <w:t>submitted to the lower layer.</w:t>
      </w:r>
      <w:bookmarkEnd w:id="9"/>
    </w:p>
    <w:p w14:paraId="46DCFF16" w14:textId="77777777" w:rsidR="00762A4A" w:rsidRPr="00762A4A" w:rsidRDefault="00762A4A"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10" w:name="_Toc110370069"/>
      <w:bookmarkStart w:id="11" w:name="_Toc110370079"/>
      <w:bookmarkStart w:id="12" w:name="_Toc110370107"/>
      <w:bookmarkStart w:id="13" w:name="_Toc110370080"/>
      <w:bookmarkStart w:id="14" w:name="_Toc110370108"/>
      <w:bookmarkStart w:id="15" w:name="_Toc110370081"/>
      <w:bookmarkStart w:id="16" w:name="_Toc110370109"/>
      <w:bookmarkStart w:id="17" w:name="_Toc110370082"/>
      <w:bookmarkStart w:id="18" w:name="_Toc110370110"/>
      <w:bookmarkStart w:id="19" w:name="_Toc110370083"/>
      <w:bookmarkStart w:id="20" w:name="_Toc110370111"/>
      <w:bookmarkStart w:id="21" w:name="_Toc110370084"/>
      <w:bookmarkStart w:id="22" w:name="_Toc110370112"/>
      <w:bookmarkStart w:id="23" w:name="_Toc110370085"/>
      <w:bookmarkStart w:id="24" w:name="_Toc110370113"/>
      <w:bookmarkStart w:id="25" w:name="_Toc110370086"/>
      <w:bookmarkStart w:id="26" w:name="_Toc110370114"/>
      <w:bookmarkStart w:id="27" w:name="_Toc110370087"/>
      <w:bookmarkStart w:id="28" w:name="_Toc110370115"/>
      <w:bookmarkStart w:id="29" w:name="_Toc110370088"/>
      <w:bookmarkStart w:id="30" w:name="_Toc110370116"/>
      <w:bookmarkStart w:id="31" w:name="_Toc110370089"/>
      <w:bookmarkStart w:id="32" w:name="_Toc110370117"/>
      <w:bookmarkStart w:id="33" w:name="_Toc110370090"/>
      <w:bookmarkStart w:id="34" w:name="_Toc110370118"/>
      <w:bookmarkStart w:id="35" w:name="_Toc110370096"/>
      <w:bookmarkStart w:id="36" w:name="_Toc110370120"/>
      <w:bookmarkStart w:id="37" w:name="_Toc47558120"/>
      <w:bookmarkStart w:id="38" w:name="_Toc47562683"/>
      <w:bookmarkStart w:id="39" w:name="_Toc476000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E58CC51" w14:textId="77777777" w:rsidR="00FB3C9D" w:rsidRDefault="003D1DDD">
      <w:pPr>
        <w:pStyle w:val="1"/>
      </w:pPr>
      <w:bookmarkStart w:id="40" w:name="_Toc109213964"/>
      <w:bookmarkEnd w:id="37"/>
      <w:bookmarkEnd w:id="38"/>
      <w:bookmarkEnd w:id="39"/>
      <w:bookmarkEnd w:id="40"/>
      <w:r>
        <w:t>Conclusion</w:t>
      </w:r>
    </w:p>
    <w:p w14:paraId="1FA2FB39" w14:textId="77777777" w:rsidR="00FB3C9D" w:rsidRDefault="003D1DDD">
      <w:r>
        <w:t>We have the following observations:</w:t>
      </w:r>
    </w:p>
    <w:p w14:paraId="3958FAE1" w14:textId="1E5600BB" w:rsidR="000F3C93"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118464937" w:history="1">
        <w:r w:rsidR="000F3C93" w:rsidRPr="00154AEE">
          <w:rPr>
            <w:rStyle w:val="af3"/>
            <w:noProof/>
          </w:rPr>
          <w:t>Observation 1</w:t>
        </w:r>
        <w:r w:rsidR="000F3C93">
          <w:rPr>
            <w:rFonts w:asciiTheme="minorHAnsi" w:eastAsiaTheme="minorEastAsia" w:hAnsiTheme="minorHAnsi" w:cstheme="minorBidi"/>
            <w:b w:val="0"/>
            <w:noProof/>
            <w:kern w:val="2"/>
            <w:sz w:val="21"/>
          </w:rPr>
          <w:tab/>
        </w:r>
        <w:r w:rsidR="000F3C93" w:rsidRPr="00154AEE">
          <w:rPr>
            <w:rStyle w:val="af3"/>
            <w:noProof/>
          </w:rPr>
          <w:t>SA2 has concluded that PDU Set Integrated Indication is introduced to indicate whether all PDUs of a PDU Set are needed. Such indication in our understanding can be used for the PDU Set discard.</w:t>
        </w:r>
      </w:hyperlink>
    </w:p>
    <w:p w14:paraId="4C0F1343" w14:textId="0D741512"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bookmarkStart w:id="41" w:name="_GoBack"/>
      <w:bookmarkEnd w:id="41"/>
    </w:p>
    <w:p w14:paraId="4651EA7A" w14:textId="0914113B" w:rsidR="000F3C9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8464935" w:history="1">
        <w:r w:rsidR="000F3C93" w:rsidRPr="00597528">
          <w:rPr>
            <w:rStyle w:val="af3"/>
            <w:noProof/>
          </w:rPr>
          <w:t>Proposal 1</w:t>
        </w:r>
        <w:r w:rsidR="000F3C93">
          <w:rPr>
            <w:rFonts w:asciiTheme="minorHAnsi" w:eastAsiaTheme="minorEastAsia" w:hAnsiTheme="minorHAnsi" w:cstheme="minorBidi"/>
            <w:b w:val="0"/>
            <w:noProof/>
            <w:kern w:val="2"/>
            <w:sz w:val="21"/>
          </w:rPr>
          <w:tab/>
        </w:r>
        <w:r w:rsidR="000F3C93" w:rsidRPr="00597528">
          <w:rPr>
            <w:rStyle w:val="af3"/>
            <w:noProof/>
          </w:rPr>
          <w:t>As the uplink transmitter, the UE can obtain PDU Set Integrated Indication from the gNB to determine whether to enable PDU Set discard. In detail, if PDU Set Integrated Indication is set as True, the UE can discard the remaining PDUs of a PDU set if some PDU of that PDU Set is known as lost, otherwise, the UE can continue the PDU transmission.</w:t>
        </w:r>
      </w:hyperlink>
    </w:p>
    <w:p w14:paraId="4F9D3146" w14:textId="4742BAFE" w:rsidR="000F3C93" w:rsidRDefault="000F3C93">
      <w:pPr>
        <w:pStyle w:val="TOC1"/>
        <w:rPr>
          <w:rFonts w:asciiTheme="minorHAnsi" w:eastAsiaTheme="minorEastAsia" w:hAnsiTheme="minorHAnsi" w:cstheme="minorBidi"/>
          <w:b w:val="0"/>
          <w:noProof/>
          <w:kern w:val="2"/>
          <w:sz w:val="21"/>
        </w:rPr>
      </w:pPr>
      <w:hyperlink w:anchor="_Toc118464936" w:history="1">
        <w:r w:rsidRPr="00597528">
          <w:rPr>
            <w:rStyle w:val="af3"/>
            <w:noProof/>
          </w:rPr>
          <w:t>Proposal 2</w:t>
        </w:r>
        <w:r>
          <w:rPr>
            <w:rFonts w:asciiTheme="minorHAnsi" w:eastAsiaTheme="minorEastAsia" w:hAnsiTheme="minorHAnsi" w:cstheme="minorBidi"/>
            <w:b w:val="0"/>
            <w:noProof/>
            <w:kern w:val="2"/>
            <w:sz w:val="21"/>
          </w:rPr>
          <w:tab/>
        </w:r>
        <w:r w:rsidRPr="00597528">
          <w:rPr>
            <w:rStyle w:val="af3"/>
            <w:noProof/>
          </w:rPr>
          <w:t>RAN2 discusses whether to keep the current SDU discard rule, i.e. the RLC SDU to be discarded should be the one that has not been yet submitted to the lower layer.</w:t>
        </w:r>
      </w:hyperlink>
    </w:p>
    <w:p w14:paraId="709E4DDE" w14:textId="033FEC1E"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2" w:name="_In-sequence_SDU_delivery"/>
      <w:bookmarkStart w:id="43" w:name="_Ref189809556"/>
      <w:bookmarkStart w:id="44" w:name="_Ref174151459"/>
      <w:bookmarkStart w:id="45" w:name="_Ref450865335"/>
      <w:bookmarkEnd w:id="42"/>
      <w:r>
        <w:rPr>
          <w:rFonts w:hint="eastAsia"/>
        </w:rPr>
        <w:t>Reference</w:t>
      </w:r>
      <w:bookmarkEnd w:id="43"/>
      <w:bookmarkEnd w:id="44"/>
      <w:bookmarkEnd w:id="45"/>
    </w:p>
    <w:p w14:paraId="505D250A" w14:textId="0F8F4877" w:rsidR="00706B96" w:rsidRDefault="003D1DDD">
      <w:r>
        <w:rPr>
          <w:lang w:val="en-US"/>
        </w:rPr>
        <w:t>[1]</w:t>
      </w:r>
      <w:r>
        <w:t xml:space="preserve"> </w:t>
      </w:r>
      <w:r w:rsidR="00706B96" w:rsidRPr="00706B96">
        <w:t>RP-</w:t>
      </w:r>
      <w:proofErr w:type="gramStart"/>
      <w:r w:rsidR="00706B96" w:rsidRPr="00706B96">
        <w:t>220285</w:t>
      </w:r>
      <w:r w:rsidR="00706B96">
        <w:t xml:space="preserve">  </w:t>
      </w:r>
      <w:r w:rsidR="00706B96" w:rsidRPr="00706B96">
        <w:t>New</w:t>
      </w:r>
      <w:proofErr w:type="gramEnd"/>
      <w:r w:rsidR="00706B96" w:rsidRPr="00706B96">
        <w:t xml:space="preserve"> SID “Study on XR Enhancements for NR”</w:t>
      </w:r>
    </w:p>
    <w:p w14:paraId="06DBA4DF" w14:textId="02BD59E8" w:rsidR="005B4F03" w:rsidRDefault="005B4F03">
      <w:r>
        <w:rPr>
          <w:rFonts w:hint="eastAsia"/>
        </w:rPr>
        <w:t>[</w:t>
      </w:r>
      <w:r>
        <w:t xml:space="preserve">2] 3GPP TR 23.700-60 </w:t>
      </w:r>
      <w:r w:rsidRPr="005B4F03">
        <w:t>Study on XR (Extended Reality) and media services</w:t>
      </w:r>
    </w:p>
    <w:p w14:paraId="66A80CB6" w14:textId="77777777" w:rsidR="00FB3C9D" w:rsidRDefault="00FB3C9D">
      <w:pPr>
        <w:rPr>
          <w:lang w:val="en-US"/>
        </w:rPr>
      </w:pPr>
    </w:p>
    <w:sectPr w:rsidR="00FB3C9D">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18544" w14:textId="77777777" w:rsidR="007C1E8D" w:rsidRDefault="007C1E8D">
      <w:pPr>
        <w:spacing w:after="0"/>
      </w:pPr>
      <w:r>
        <w:separator/>
      </w:r>
    </w:p>
  </w:endnote>
  <w:endnote w:type="continuationSeparator" w:id="0">
    <w:p w14:paraId="2F503ADC" w14:textId="77777777" w:rsidR="007C1E8D" w:rsidRDefault="007C1E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5BC9D" w14:textId="77777777" w:rsidR="007C1E8D" w:rsidRDefault="007C1E8D">
      <w:pPr>
        <w:spacing w:after="0"/>
      </w:pPr>
      <w:r>
        <w:separator/>
      </w:r>
    </w:p>
  </w:footnote>
  <w:footnote w:type="continuationSeparator" w:id="0">
    <w:p w14:paraId="08FFED89" w14:textId="77777777" w:rsidR="007C1E8D" w:rsidRDefault="007C1E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A6166"/>
    <w:multiLevelType w:val="hybridMultilevel"/>
    <w:tmpl w:val="D3A88006"/>
    <w:lvl w:ilvl="0" w:tplc="E8E2C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B869B1"/>
    <w:multiLevelType w:val="hybridMultilevel"/>
    <w:tmpl w:val="17625E40"/>
    <w:lvl w:ilvl="0" w:tplc="4586A9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CA93D14"/>
    <w:multiLevelType w:val="hybridMultilevel"/>
    <w:tmpl w:val="D2823D08"/>
    <w:lvl w:ilvl="0" w:tplc="E01E9084">
      <w:start w:val="1"/>
      <w:numFmt w:val="bullet"/>
      <w:lvlText w:val="•"/>
      <w:lvlJc w:val="left"/>
      <w:pPr>
        <w:tabs>
          <w:tab w:val="num" w:pos="720"/>
        </w:tabs>
        <w:ind w:left="720" w:hanging="360"/>
      </w:pPr>
      <w:rPr>
        <w:rFonts w:ascii="Arial" w:hAnsi="Arial" w:hint="default"/>
      </w:rPr>
    </w:lvl>
    <w:lvl w:ilvl="1" w:tplc="8DF6B156" w:tentative="1">
      <w:start w:val="1"/>
      <w:numFmt w:val="bullet"/>
      <w:lvlText w:val="•"/>
      <w:lvlJc w:val="left"/>
      <w:pPr>
        <w:tabs>
          <w:tab w:val="num" w:pos="1440"/>
        </w:tabs>
        <w:ind w:left="1440" w:hanging="360"/>
      </w:pPr>
      <w:rPr>
        <w:rFonts w:ascii="Arial" w:hAnsi="Arial" w:hint="default"/>
      </w:rPr>
    </w:lvl>
    <w:lvl w:ilvl="2" w:tplc="9C34E2BE" w:tentative="1">
      <w:start w:val="1"/>
      <w:numFmt w:val="bullet"/>
      <w:lvlText w:val="•"/>
      <w:lvlJc w:val="left"/>
      <w:pPr>
        <w:tabs>
          <w:tab w:val="num" w:pos="2160"/>
        </w:tabs>
        <w:ind w:left="2160" w:hanging="360"/>
      </w:pPr>
      <w:rPr>
        <w:rFonts w:ascii="Arial" w:hAnsi="Arial" w:hint="default"/>
      </w:rPr>
    </w:lvl>
    <w:lvl w:ilvl="3" w:tplc="20BC0F62" w:tentative="1">
      <w:start w:val="1"/>
      <w:numFmt w:val="bullet"/>
      <w:lvlText w:val="•"/>
      <w:lvlJc w:val="left"/>
      <w:pPr>
        <w:tabs>
          <w:tab w:val="num" w:pos="2880"/>
        </w:tabs>
        <w:ind w:left="2880" w:hanging="360"/>
      </w:pPr>
      <w:rPr>
        <w:rFonts w:ascii="Arial" w:hAnsi="Arial" w:hint="default"/>
      </w:rPr>
    </w:lvl>
    <w:lvl w:ilvl="4" w:tplc="7FCAF51E" w:tentative="1">
      <w:start w:val="1"/>
      <w:numFmt w:val="bullet"/>
      <w:lvlText w:val="•"/>
      <w:lvlJc w:val="left"/>
      <w:pPr>
        <w:tabs>
          <w:tab w:val="num" w:pos="3600"/>
        </w:tabs>
        <w:ind w:left="3600" w:hanging="360"/>
      </w:pPr>
      <w:rPr>
        <w:rFonts w:ascii="Arial" w:hAnsi="Arial" w:hint="default"/>
      </w:rPr>
    </w:lvl>
    <w:lvl w:ilvl="5" w:tplc="0D0615F6" w:tentative="1">
      <w:start w:val="1"/>
      <w:numFmt w:val="bullet"/>
      <w:lvlText w:val="•"/>
      <w:lvlJc w:val="left"/>
      <w:pPr>
        <w:tabs>
          <w:tab w:val="num" w:pos="4320"/>
        </w:tabs>
        <w:ind w:left="4320" w:hanging="360"/>
      </w:pPr>
      <w:rPr>
        <w:rFonts w:ascii="Arial" w:hAnsi="Arial" w:hint="default"/>
      </w:rPr>
    </w:lvl>
    <w:lvl w:ilvl="6" w:tplc="E7F086BC" w:tentative="1">
      <w:start w:val="1"/>
      <w:numFmt w:val="bullet"/>
      <w:lvlText w:val="•"/>
      <w:lvlJc w:val="left"/>
      <w:pPr>
        <w:tabs>
          <w:tab w:val="num" w:pos="5040"/>
        </w:tabs>
        <w:ind w:left="5040" w:hanging="360"/>
      </w:pPr>
      <w:rPr>
        <w:rFonts w:ascii="Arial" w:hAnsi="Arial" w:hint="default"/>
      </w:rPr>
    </w:lvl>
    <w:lvl w:ilvl="7" w:tplc="7B8064C4" w:tentative="1">
      <w:start w:val="1"/>
      <w:numFmt w:val="bullet"/>
      <w:lvlText w:val="•"/>
      <w:lvlJc w:val="left"/>
      <w:pPr>
        <w:tabs>
          <w:tab w:val="num" w:pos="5760"/>
        </w:tabs>
        <w:ind w:left="5760" w:hanging="360"/>
      </w:pPr>
      <w:rPr>
        <w:rFonts w:ascii="Arial" w:hAnsi="Arial" w:hint="default"/>
      </w:rPr>
    </w:lvl>
    <w:lvl w:ilvl="8" w:tplc="2BD4F0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1A6EF3"/>
    <w:multiLevelType w:val="hybridMultilevel"/>
    <w:tmpl w:val="10E6BFC0"/>
    <w:lvl w:ilvl="0" w:tplc="05947DF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8" w15:restartNumberingAfterBreak="0">
    <w:nsid w:val="72D5174A"/>
    <w:multiLevelType w:val="hybridMultilevel"/>
    <w:tmpl w:val="442828B2"/>
    <w:lvl w:ilvl="0" w:tplc="ACAA7FC4">
      <w:start w:val="1"/>
      <w:numFmt w:val="bullet"/>
      <w:lvlText w:val="•"/>
      <w:lvlJc w:val="left"/>
      <w:pPr>
        <w:tabs>
          <w:tab w:val="num" w:pos="720"/>
        </w:tabs>
        <w:ind w:left="720" w:hanging="360"/>
      </w:pPr>
      <w:rPr>
        <w:rFonts w:ascii="Arial" w:hAnsi="Arial" w:hint="default"/>
      </w:rPr>
    </w:lvl>
    <w:lvl w:ilvl="1" w:tplc="14BCB730" w:tentative="1">
      <w:start w:val="1"/>
      <w:numFmt w:val="bullet"/>
      <w:lvlText w:val="•"/>
      <w:lvlJc w:val="left"/>
      <w:pPr>
        <w:tabs>
          <w:tab w:val="num" w:pos="1440"/>
        </w:tabs>
        <w:ind w:left="1440" w:hanging="360"/>
      </w:pPr>
      <w:rPr>
        <w:rFonts w:ascii="Arial" w:hAnsi="Arial" w:hint="default"/>
      </w:rPr>
    </w:lvl>
    <w:lvl w:ilvl="2" w:tplc="2E12BB64" w:tentative="1">
      <w:start w:val="1"/>
      <w:numFmt w:val="bullet"/>
      <w:lvlText w:val="•"/>
      <w:lvlJc w:val="left"/>
      <w:pPr>
        <w:tabs>
          <w:tab w:val="num" w:pos="2160"/>
        </w:tabs>
        <w:ind w:left="2160" w:hanging="360"/>
      </w:pPr>
      <w:rPr>
        <w:rFonts w:ascii="Arial" w:hAnsi="Arial" w:hint="default"/>
      </w:rPr>
    </w:lvl>
    <w:lvl w:ilvl="3" w:tplc="5E4ABC52" w:tentative="1">
      <w:start w:val="1"/>
      <w:numFmt w:val="bullet"/>
      <w:lvlText w:val="•"/>
      <w:lvlJc w:val="left"/>
      <w:pPr>
        <w:tabs>
          <w:tab w:val="num" w:pos="2880"/>
        </w:tabs>
        <w:ind w:left="2880" w:hanging="360"/>
      </w:pPr>
      <w:rPr>
        <w:rFonts w:ascii="Arial" w:hAnsi="Arial" w:hint="default"/>
      </w:rPr>
    </w:lvl>
    <w:lvl w:ilvl="4" w:tplc="15825EE4" w:tentative="1">
      <w:start w:val="1"/>
      <w:numFmt w:val="bullet"/>
      <w:lvlText w:val="•"/>
      <w:lvlJc w:val="left"/>
      <w:pPr>
        <w:tabs>
          <w:tab w:val="num" w:pos="3600"/>
        </w:tabs>
        <w:ind w:left="3600" w:hanging="360"/>
      </w:pPr>
      <w:rPr>
        <w:rFonts w:ascii="Arial" w:hAnsi="Arial" w:hint="default"/>
      </w:rPr>
    </w:lvl>
    <w:lvl w:ilvl="5" w:tplc="AF4ED3E2" w:tentative="1">
      <w:start w:val="1"/>
      <w:numFmt w:val="bullet"/>
      <w:lvlText w:val="•"/>
      <w:lvlJc w:val="left"/>
      <w:pPr>
        <w:tabs>
          <w:tab w:val="num" w:pos="4320"/>
        </w:tabs>
        <w:ind w:left="4320" w:hanging="360"/>
      </w:pPr>
      <w:rPr>
        <w:rFonts w:ascii="Arial" w:hAnsi="Arial" w:hint="default"/>
      </w:rPr>
    </w:lvl>
    <w:lvl w:ilvl="6" w:tplc="38963448" w:tentative="1">
      <w:start w:val="1"/>
      <w:numFmt w:val="bullet"/>
      <w:lvlText w:val="•"/>
      <w:lvlJc w:val="left"/>
      <w:pPr>
        <w:tabs>
          <w:tab w:val="num" w:pos="5040"/>
        </w:tabs>
        <w:ind w:left="5040" w:hanging="360"/>
      </w:pPr>
      <w:rPr>
        <w:rFonts w:ascii="Arial" w:hAnsi="Arial" w:hint="default"/>
      </w:rPr>
    </w:lvl>
    <w:lvl w:ilvl="7" w:tplc="27DC8ED2" w:tentative="1">
      <w:start w:val="1"/>
      <w:numFmt w:val="bullet"/>
      <w:lvlText w:val="•"/>
      <w:lvlJc w:val="left"/>
      <w:pPr>
        <w:tabs>
          <w:tab w:val="num" w:pos="5760"/>
        </w:tabs>
        <w:ind w:left="5760" w:hanging="360"/>
      </w:pPr>
      <w:rPr>
        <w:rFonts w:ascii="Arial" w:hAnsi="Arial" w:hint="default"/>
      </w:rPr>
    </w:lvl>
    <w:lvl w:ilvl="8" w:tplc="86C246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5"/>
  </w:num>
  <w:num w:numId="4">
    <w:abstractNumId w:val="5"/>
  </w:num>
  <w:num w:numId="5">
    <w:abstractNumId w:val="20"/>
  </w:num>
  <w:num w:numId="6">
    <w:abstractNumId w:val="9"/>
  </w:num>
  <w:num w:numId="7">
    <w:abstractNumId w:val="6"/>
  </w:num>
  <w:num w:numId="8">
    <w:abstractNumId w:val="18"/>
  </w:num>
  <w:num w:numId="9">
    <w:abstractNumId w:val="22"/>
  </w:num>
  <w:num w:numId="10">
    <w:abstractNumId w:val="17"/>
  </w:num>
  <w:num w:numId="11">
    <w:abstractNumId w:val="11"/>
  </w:num>
  <w:num w:numId="12">
    <w:abstractNumId w:val="2"/>
  </w:num>
  <w:num w:numId="13">
    <w:abstractNumId w:val="10"/>
  </w:num>
  <w:num w:numId="14">
    <w:abstractNumId w:val="24"/>
  </w:num>
  <w:num w:numId="15">
    <w:abstractNumId w:val="3"/>
  </w:num>
  <w:num w:numId="16">
    <w:abstractNumId w:val="23"/>
  </w:num>
  <w:num w:numId="17">
    <w:abstractNumId w:val="29"/>
  </w:num>
  <w:num w:numId="18">
    <w:abstractNumId w:val="16"/>
  </w:num>
  <w:num w:numId="19">
    <w:abstractNumId w:val="2"/>
  </w:num>
  <w:num w:numId="20">
    <w:abstractNumId w:val="2"/>
  </w:num>
  <w:num w:numId="21">
    <w:abstractNumId w:val="27"/>
  </w:num>
  <w:num w:numId="22">
    <w:abstractNumId w:val="21"/>
  </w:num>
  <w:num w:numId="23">
    <w:abstractNumId w:val="15"/>
  </w:num>
  <w:num w:numId="24">
    <w:abstractNumId w:val="0"/>
  </w:num>
  <w:num w:numId="25">
    <w:abstractNumId w:val="19"/>
  </w:num>
  <w:num w:numId="26">
    <w:abstractNumId w:val="24"/>
  </w:num>
  <w:num w:numId="27">
    <w:abstractNumId w:val="8"/>
  </w:num>
  <w:num w:numId="28">
    <w:abstractNumId w:val="30"/>
  </w:num>
  <w:num w:numId="29">
    <w:abstractNumId w:val="26"/>
  </w:num>
  <w:num w:numId="30">
    <w:abstractNumId w:val="2"/>
  </w:num>
  <w:num w:numId="31">
    <w:abstractNumId w:val="4"/>
  </w:num>
  <w:num w:numId="32">
    <w:abstractNumId w:val="24"/>
  </w:num>
  <w:num w:numId="33">
    <w:abstractNumId w:val="24"/>
  </w:num>
  <w:num w:numId="34">
    <w:abstractNumId w:val="28"/>
  </w:num>
  <w:num w:numId="35">
    <w:abstractNumId w:val="7"/>
  </w:num>
  <w:num w:numId="36">
    <w:abstractNumId w:val="2"/>
  </w:num>
  <w:num w:numId="37">
    <w:abstractNumId w:val="1"/>
  </w:num>
  <w:num w:numId="3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0E2A"/>
    <w:rsid w:val="00001A55"/>
    <w:rsid w:val="0000329D"/>
    <w:rsid w:val="000041CC"/>
    <w:rsid w:val="00006073"/>
    <w:rsid w:val="00006910"/>
    <w:rsid w:val="00012ADF"/>
    <w:rsid w:val="00015D4A"/>
    <w:rsid w:val="00015ECB"/>
    <w:rsid w:val="00017121"/>
    <w:rsid w:val="00020218"/>
    <w:rsid w:val="000229C4"/>
    <w:rsid w:val="00022EB0"/>
    <w:rsid w:val="00023523"/>
    <w:rsid w:val="00023758"/>
    <w:rsid w:val="00023B66"/>
    <w:rsid w:val="00027541"/>
    <w:rsid w:val="000328EA"/>
    <w:rsid w:val="0003461C"/>
    <w:rsid w:val="00034B3C"/>
    <w:rsid w:val="00035095"/>
    <w:rsid w:val="0003754F"/>
    <w:rsid w:val="00041594"/>
    <w:rsid w:val="00041B32"/>
    <w:rsid w:val="00041DA2"/>
    <w:rsid w:val="000424C1"/>
    <w:rsid w:val="000427A6"/>
    <w:rsid w:val="00043613"/>
    <w:rsid w:val="00043C1A"/>
    <w:rsid w:val="00044D3C"/>
    <w:rsid w:val="000460AE"/>
    <w:rsid w:val="00046206"/>
    <w:rsid w:val="00047E38"/>
    <w:rsid w:val="00050648"/>
    <w:rsid w:val="00050829"/>
    <w:rsid w:val="00051FF9"/>
    <w:rsid w:val="00052308"/>
    <w:rsid w:val="00052E67"/>
    <w:rsid w:val="000553AA"/>
    <w:rsid w:val="000571A8"/>
    <w:rsid w:val="000600F2"/>
    <w:rsid w:val="00061BC7"/>
    <w:rsid w:val="00061F4E"/>
    <w:rsid w:val="0006489D"/>
    <w:rsid w:val="000651A3"/>
    <w:rsid w:val="00065DFD"/>
    <w:rsid w:val="00066849"/>
    <w:rsid w:val="00066F60"/>
    <w:rsid w:val="00067759"/>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4317"/>
    <w:rsid w:val="0009452C"/>
    <w:rsid w:val="0009512B"/>
    <w:rsid w:val="00095E77"/>
    <w:rsid w:val="000976CD"/>
    <w:rsid w:val="00097CE7"/>
    <w:rsid w:val="000A0880"/>
    <w:rsid w:val="000A2813"/>
    <w:rsid w:val="000A5B10"/>
    <w:rsid w:val="000A5D21"/>
    <w:rsid w:val="000A73DA"/>
    <w:rsid w:val="000B09E5"/>
    <w:rsid w:val="000B0DC5"/>
    <w:rsid w:val="000B3F8F"/>
    <w:rsid w:val="000B4328"/>
    <w:rsid w:val="000B4B60"/>
    <w:rsid w:val="000B5A0D"/>
    <w:rsid w:val="000B5FE1"/>
    <w:rsid w:val="000C1655"/>
    <w:rsid w:val="000C4C0A"/>
    <w:rsid w:val="000C4FC1"/>
    <w:rsid w:val="000C5272"/>
    <w:rsid w:val="000C6590"/>
    <w:rsid w:val="000C7608"/>
    <w:rsid w:val="000D0287"/>
    <w:rsid w:val="000D0648"/>
    <w:rsid w:val="000D074F"/>
    <w:rsid w:val="000D16A7"/>
    <w:rsid w:val="000D2143"/>
    <w:rsid w:val="000D2BBD"/>
    <w:rsid w:val="000D4C8D"/>
    <w:rsid w:val="000D575D"/>
    <w:rsid w:val="000E0143"/>
    <w:rsid w:val="000E02EC"/>
    <w:rsid w:val="000E03CA"/>
    <w:rsid w:val="000E042B"/>
    <w:rsid w:val="000E14E2"/>
    <w:rsid w:val="000E1B9B"/>
    <w:rsid w:val="000E7610"/>
    <w:rsid w:val="000F0EF0"/>
    <w:rsid w:val="000F3C93"/>
    <w:rsid w:val="000F5D4E"/>
    <w:rsid w:val="001044AD"/>
    <w:rsid w:val="00105DFA"/>
    <w:rsid w:val="001066FF"/>
    <w:rsid w:val="001110BF"/>
    <w:rsid w:val="0011381E"/>
    <w:rsid w:val="00113ACC"/>
    <w:rsid w:val="00114C40"/>
    <w:rsid w:val="00114DEA"/>
    <w:rsid w:val="00115FC5"/>
    <w:rsid w:val="00117CF6"/>
    <w:rsid w:val="00120AA2"/>
    <w:rsid w:val="001215BC"/>
    <w:rsid w:val="0012254F"/>
    <w:rsid w:val="0012282D"/>
    <w:rsid w:val="00125F99"/>
    <w:rsid w:val="00126782"/>
    <w:rsid w:val="00130DAA"/>
    <w:rsid w:val="0013152B"/>
    <w:rsid w:val="00133597"/>
    <w:rsid w:val="0013500B"/>
    <w:rsid w:val="00136D1F"/>
    <w:rsid w:val="00137144"/>
    <w:rsid w:val="00137C2F"/>
    <w:rsid w:val="00144218"/>
    <w:rsid w:val="001464F8"/>
    <w:rsid w:val="00146512"/>
    <w:rsid w:val="00146E5B"/>
    <w:rsid w:val="00146FD2"/>
    <w:rsid w:val="00151002"/>
    <w:rsid w:val="00152754"/>
    <w:rsid w:val="00153C00"/>
    <w:rsid w:val="001541EF"/>
    <w:rsid w:val="001571D5"/>
    <w:rsid w:val="00161EB1"/>
    <w:rsid w:val="00163D68"/>
    <w:rsid w:val="00164072"/>
    <w:rsid w:val="0016524B"/>
    <w:rsid w:val="0016575B"/>
    <w:rsid w:val="0016799D"/>
    <w:rsid w:val="00171792"/>
    <w:rsid w:val="00173332"/>
    <w:rsid w:val="00175DBA"/>
    <w:rsid w:val="00182523"/>
    <w:rsid w:val="00182A73"/>
    <w:rsid w:val="00182D7B"/>
    <w:rsid w:val="0018417B"/>
    <w:rsid w:val="00185676"/>
    <w:rsid w:val="001872AD"/>
    <w:rsid w:val="001908D3"/>
    <w:rsid w:val="00193B32"/>
    <w:rsid w:val="001944F2"/>
    <w:rsid w:val="00194921"/>
    <w:rsid w:val="00196B81"/>
    <w:rsid w:val="00197B03"/>
    <w:rsid w:val="001A0BB5"/>
    <w:rsid w:val="001A46DD"/>
    <w:rsid w:val="001A480A"/>
    <w:rsid w:val="001A5C0A"/>
    <w:rsid w:val="001A5DC6"/>
    <w:rsid w:val="001A6551"/>
    <w:rsid w:val="001B00C3"/>
    <w:rsid w:val="001B1BD4"/>
    <w:rsid w:val="001B2889"/>
    <w:rsid w:val="001B3D23"/>
    <w:rsid w:val="001B490B"/>
    <w:rsid w:val="001B63D5"/>
    <w:rsid w:val="001B64DA"/>
    <w:rsid w:val="001B7367"/>
    <w:rsid w:val="001C01FE"/>
    <w:rsid w:val="001C0379"/>
    <w:rsid w:val="001C043B"/>
    <w:rsid w:val="001C41A4"/>
    <w:rsid w:val="001C6DAB"/>
    <w:rsid w:val="001C7F9B"/>
    <w:rsid w:val="001D0711"/>
    <w:rsid w:val="001D0743"/>
    <w:rsid w:val="001D0E02"/>
    <w:rsid w:val="001D1F24"/>
    <w:rsid w:val="001D2FCA"/>
    <w:rsid w:val="001D3C21"/>
    <w:rsid w:val="001D65DD"/>
    <w:rsid w:val="001E02F0"/>
    <w:rsid w:val="001E3202"/>
    <w:rsid w:val="001E3BBD"/>
    <w:rsid w:val="001E556E"/>
    <w:rsid w:val="001E5903"/>
    <w:rsid w:val="001F3FE1"/>
    <w:rsid w:val="001F40A5"/>
    <w:rsid w:val="001F660C"/>
    <w:rsid w:val="002006F7"/>
    <w:rsid w:val="00201BF3"/>
    <w:rsid w:val="00201D0B"/>
    <w:rsid w:val="00206B44"/>
    <w:rsid w:val="002073A4"/>
    <w:rsid w:val="00210171"/>
    <w:rsid w:val="00210F1A"/>
    <w:rsid w:val="00211351"/>
    <w:rsid w:val="00211447"/>
    <w:rsid w:val="00211AD3"/>
    <w:rsid w:val="00212650"/>
    <w:rsid w:val="00212FB1"/>
    <w:rsid w:val="0021419D"/>
    <w:rsid w:val="00215F40"/>
    <w:rsid w:val="002226D1"/>
    <w:rsid w:val="00223C00"/>
    <w:rsid w:val="0022442D"/>
    <w:rsid w:val="00224D61"/>
    <w:rsid w:val="00231ED6"/>
    <w:rsid w:val="0023324E"/>
    <w:rsid w:val="002416E2"/>
    <w:rsid w:val="00241724"/>
    <w:rsid w:val="0024179E"/>
    <w:rsid w:val="00243405"/>
    <w:rsid w:val="00244524"/>
    <w:rsid w:val="00244E56"/>
    <w:rsid w:val="00245E1B"/>
    <w:rsid w:val="0024632E"/>
    <w:rsid w:val="002504FA"/>
    <w:rsid w:val="002506CD"/>
    <w:rsid w:val="00257956"/>
    <w:rsid w:val="00257DD1"/>
    <w:rsid w:val="00261E7B"/>
    <w:rsid w:val="002652CD"/>
    <w:rsid w:val="0026725A"/>
    <w:rsid w:val="002675AB"/>
    <w:rsid w:val="002719A1"/>
    <w:rsid w:val="00274595"/>
    <w:rsid w:val="0027630C"/>
    <w:rsid w:val="00276458"/>
    <w:rsid w:val="002764AC"/>
    <w:rsid w:val="00276E9C"/>
    <w:rsid w:val="00280FBE"/>
    <w:rsid w:val="00281CCF"/>
    <w:rsid w:val="00283C1B"/>
    <w:rsid w:val="00285A65"/>
    <w:rsid w:val="00285C05"/>
    <w:rsid w:val="002869EE"/>
    <w:rsid w:val="002912C0"/>
    <w:rsid w:val="0029341F"/>
    <w:rsid w:val="002A7020"/>
    <w:rsid w:val="002B0A46"/>
    <w:rsid w:val="002B0A9A"/>
    <w:rsid w:val="002B0C66"/>
    <w:rsid w:val="002B4EBC"/>
    <w:rsid w:val="002B543F"/>
    <w:rsid w:val="002B606D"/>
    <w:rsid w:val="002C0667"/>
    <w:rsid w:val="002C17FA"/>
    <w:rsid w:val="002C222F"/>
    <w:rsid w:val="002C22BF"/>
    <w:rsid w:val="002C2392"/>
    <w:rsid w:val="002C2CB1"/>
    <w:rsid w:val="002C2EDC"/>
    <w:rsid w:val="002C501A"/>
    <w:rsid w:val="002C682B"/>
    <w:rsid w:val="002C6E9D"/>
    <w:rsid w:val="002C754E"/>
    <w:rsid w:val="002D0EF9"/>
    <w:rsid w:val="002D3432"/>
    <w:rsid w:val="002D3DEE"/>
    <w:rsid w:val="002D5AE9"/>
    <w:rsid w:val="002D5FD7"/>
    <w:rsid w:val="002D6F38"/>
    <w:rsid w:val="002E30F4"/>
    <w:rsid w:val="002E45E2"/>
    <w:rsid w:val="002E4B00"/>
    <w:rsid w:val="002E6820"/>
    <w:rsid w:val="002F0BD9"/>
    <w:rsid w:val="002F2F64"/>
    <w:rsid w:val="002F494C"/>
    <w:rsid w:val="002F5CB7"/>
    <w:rsid w:val="002F6B1B"/>
    <w:rsid w:val="002F7AB4"/>
    <w:rsid w:val="003007DF"/>
    <w:rsid w:val="00302940"/>
    <w:rsid w:val="00303CEE"/>
    <w:rsid w:val="00304D11"/>
    <w:rsid w:val="00304E46"/>
    <w:rsid w:val="00304FDA"/>
    <w:rsid w:val="00305458"/>
    <w:rsid w:val="00306EDF"/>
    <w:rsid w:val="0030786E"/>
    <w:rsid w:val="00310205"/>
    <w:rsid w:val="00310775"/>
    <w:rsid w:val="00310E40"/>
    <w:rsid w:val="00311F3F"/>
    <w:rsid w:val="003134B3"/>
    <w:rsid w:val="00313535"/>
    <w:rsid w:val="00313F0E"/>
    <w:rsid w:val="003142E4"/>
    <w:rsid w:val="00315577"/>
    <w:rsid w:val="00315B28"/>
    <w:rsid w:val="00315CAB"/>
    <w:rsid w:val="00320928"/>
    <w:rsid w:val="00320AB2"/>
    <w:rsid w:val="003210DC"/>
    <w:rsid w:val="00322E2F"/>
    <w:rsid w:val="003236AE"/>
    <w:rsid w:val="0032532E"/>
    <w:rsid w:val="00325BFC"/>
    <w:rsid w:val="003264A9"/>
    <w:rsid w:val="00330252"/>
    <w:rsid w:val="00333A7F"/>
    <w:rsid w:val="00337666"/>
    <w:rsid w:val="00345593"/>
    <w:rsid w:val="00347E26"/>
    <w:rsid w:val="003517E4"/>
    <w:rsid w:val="003528DA"/>
    <w:rsid w:val="00354AED"/>
    <w:rsid w:val="00356EF4"/>
    <w:rsid w:val="00357EC2"/>
    <w:rsid w:val="00360B57"/>
    <w:rsid w:val="0036114A"/>
    <w:rsid w:val="00361540"/>
    <w:rsid w:val="00362F5A"/>
    <w:rsid w:val="0036372C"/>
    <w:rsid w:val="00363BB8"/>
    <w:rsid w:val="00365718"/>
    <w:rsid w:val="00366D15"/>
    <w:rsid w:val="00367918"/>
    <w:rsid w:val="003715CC"/>
    <w:rsid w:val="003734FA"/>
    <w:rsid w:val="00376B2D"/>
    <w:rsid w:val="00377EFF"/>
    <w:rsid w:val="00380055"/>
    <w:rsid w:val="00380D44"/>
    <w:rsid w:val="0038188F"/>
    <w:rsid w:val="0038350F"/>
    <w:rsid w:val="0038427D"/>
    <w:rsid w:val="003842E4"/>
    <w:rsid w:val="00386992"/>
    <w:rsid w:val="00386A08"/>
    <w:rsid w:val="00386DB1"/>
    <w:rsid w:val="00386F7A"/>
    <w:rsid w:val="003875D9"/>
    <w:rsid w:val="0039075A"/>
    <w:rsid w:val="00391515"/>
    <w:rsid w:val="00392BB3"/>
    <w:rsid w:val="0039504D"/>
    <w:rsid w:val="00395609"/>
    <w:rsid w:val="003973C0"/>
    <w:rsid w:val="003A04B8"/>
    <w:rsid w:val="003A1DA9"/>
    <w:rsid w:val="003A3BCA"/>
    <w:rsid w:val="003A5748"/>
    <w:rsid w:val="003A67D7"/>
    <w:rsid w:val="003B176E"/>
    <w:rsid w:val="003B2A7B"/>
    <w:rsid w:val="003B5800"/>
    <w:rsid w:val="003B61CA"/>
    <w:rsid w:val="003B69C5"/>
    <w:rsid w:val="003C2081"/>
    <w:rsid w:val="003C23FB"/>
    <w:rsid w:val="003C43B0"/>
    <w:rsid w:val="003C6AD2"/>
    <w:rsid w:val="003C7201"/>
    <w:rsid w:val="003D114E"/>
    <w:rsid w:val="003D164A"/>
    <w:rsid w:val="003D1A62"/>
    <w:rsid w:val="003D1DDD"/>
    <w:rsid w:val="003D2725"/>
    <w:rsid w:val="003D290B"/>
    <w:rsid w:val="003D5833"/>
    <w:rsid w:val="003E137E"/>
    <w:rsid w:val="003E141A"/>
    <w:rsid w:val="003E188D"/>
    <w:rsid w:val="003E23D6"/>
    <w:rsid w:val="003E36EE"/>
    <w:rsid w:val="003E3AFA"/>
    <w:rsid w:val="003E46CF"/>
    <w:rsid w:val="003E6888"/>
    <w:rsid w:val="003E72AB"/>
    <w:rsid w:val="003F2762"/>
    <w:rsid w:val="003F4C46"/>
    <w:rsid w:val="003F4EFE"/>
    <w:rsid w:val="003F6EEE"/>
    <w:rsid w:val="004002E5"/>
    <w:rsid w:val="00402CE8"/>
    <w:rsid w:val="00403D3D"/>
    <w:rsid w:val="00403E7F"/>
    <w:rsid w:val="00404249"/>
    <w:rsid w:val="00405A25"/>
    <w:rsid w:val="004102D8"/>
    <w:rsid w:val="00411B2A"/>
    <w:rsid w:val="0041279E"/>
    <w:rsid w:val="00413871"/>
    <w:rsid w:val="00417788"/>
    <w:rsid w:val="00417E59"/>
    <w:rsid w:val="004217DB"/>
    <w:rsid w:val="004238C5"/>
    <w:rsid w:val="00423E90"/>
    <w:rsid w:val="00425B4D"/>
    <w:rsid w:val="00427C67"/>
    <w:rsid w:val="0043191E"/>
    <w:rsid w:val="00431991"/>
    <w:rsid w:val="00431D05"/>
    <w:rsid w:val="0043203A"/>
    <w:rsid w:val="0043359C"/>
    <w:rsid w:val="0043433F"/>
    <w:rsid w:val="0043535F"/>
    <w:rsid w:val="00435F10"/>
    <w:rsid w:val="004408C8"/>
    <w:rsid w:val="00444E1A"/>
    <w:rsid w:val="00446710"/>
    <w:rsid w:val="00446A29"/>
    <w:rsid w:val="00447B68"/>
    <w:rsid w:val="0045012C"/>
    <w:rsid w:val="00453C89"/>
    <w:rsid w:val="00454513"/>
    <w:rsid w:val="0045633B"/>
    <w:rsid w:val="004613EE"/>
    <w:rsid w:val="00462056"/>
    <w:rsid w:val="00462476"/>
    <w:rsid w:val="004641CF"/>
    <w:rsid w:val="0046441A"/>
    <w:rsid w:val="00465107"/>
    <w:rsid w:val="0046517B"/>
    <w:rsid w:val="00466280"/>
    <w:rsid w:val="00467939"/>
    <w:rsid w:val="00471929"/>
    <w:rsid w:val="00472932"/>
    <w:rsid w:val="00475053"/>
    <w:rsid w:val="0047595C"/>
    <w:rsid w:val="00475AA8"/>
    <w:rsid w:val="00476F75"/>
    <w:rsid w:val="00477C76"/>
    <w:rsid w:val="004804C7"/>
    <w:rsid w:val="00480A36"/>
    <w:rsid w:val="00480E51"/>
    <w:rsid w:val="004822DC"/>
    <w:rsid w:val="00483DE8"/>
    <w:rsid w:val="00487269"/>
    <w:rsid w:val="0049138D"/>
    <w:rsid w:val="00494918"/>
    <w:rsid w:val="004A0441"/>
    <w:rsid w:val="004A0FF9"/>
    <w:rsid w:val="004A3A9A"/>
    <w:rsid w:val="004A3BFE"/>
    <w:rsid w:val="004A51A0"/>
    <w:rsid w:val="004A6620"/>
    <w:rsid w:val="004A6965"/>
    <w:rsid w:val="004A6B43"/>
    <w:rsid w:val="004A7B3E"/>
    <w:rsid w:val="004B2880"/>
    <w:rsid w:val="004B36FA"/>
    <w:rsid w:val="004B4F9E"/>
    <w:rsid w:val="004B7085"/>
    <w:rsid w:val="004C03D5"/>
    <w:rsid w:val="004C17C9"/>
    <w:rsid w:val="004C42B1"/>
    <w:rsid w:val="004C4B19"/>
    <w:rsid w:val="004D0C33"/>
    <w:rsid w:val="004D0F4A"/>
    <w:rsid w:val="004D1103"/>
    <w:rsid w:val="004D183D"/>
    <w:rsid w:val="004D25E9"/>
    <w:rsid w:val="004D5395"/>
    <w:rsid w:val="004D673D"/>
    <w:rsid w:val="004D6A6E"/>
    <w:rsid w:val="004D76C1"/>
    <w:rsid w:val="004E0755"/>
    <w:rsid w:val="004E1777"/>
    <w:rsid w:val="004E28FF"/>
    <w:rsid w:val="004E2DB9"/>
    <w:rsid w:val="004E4876"/>
    <w:rsid w:val="004E6DD4"/>
    <w:rsid w:val="004E7D43"/>
    <w:rsid w:val="004E7EF5"/>
    <w:rsid w:val="004F0F81"/>
    <w:rsid w:val="004F67E1"/>
    <w:rsid w:val="004F6907"/>
    <w:rsid w:val="00500573"/>
    <w:rsid w:val="00501960"/>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53D6"/>
    <w:rsid w:val="00526AEE"/>
    <w:rsid w:val="005272CA"/>
    <w:rsid w:val="00527BDE"/>
    <w:rsid w:val="00530857"/>
    <w:rsid w:val="00530C09"/>
    <w:rsid w:val="0053110B"/>
    <w:rsid w:val="00532548"/>
    <w:rsid w:val="0053627F"/>
    <w:rsid w:val="005365BA"/>
    <w:rsid w:val="00536BAF"/>
    <w:rsid w:val="005373C9"/>
    <w:rsid w:val="00537917"/>
    <w:rsid w:val="00540097"/>
    <w:rsid w:val="005410C9"/>
    <w:rsid w:val="0054149A"/>
    <w:rsid w:val="00542290"/>
    <w:rsid w:val="00543EC9"/>
    <w:rsid w:val="00543F3B"/>
    <w:rsid w:val="005442E9"/>
    <w:rsid w:val="005459C0"/>
    <w:rsid w:val="00545ECC"/>
    <w:rsid w:val="00546A0C"/>
    <w:rsid w:val="00547999"/>
    <w:rsid w:val="005506E1"/>
    <w:rsid w:val="00551A2C"/>
    <w:rsid w:val="0055319F"/>
    <w:rsid w:val="00553DBF"/>
    <w:rsid w:val="005548F3"/>
    <w:rsid w:val="005568E0"/>
    <w:rsid w:val="00556981"/>
    <w:rsid w:val="0056043F"/>
    <w:rsid w:val="0056179B"/>
    <w:rsid w:val="00562D0E"/>
    <w:rsid w:val="00562D82"/>
    <w:rsid w:val="00565CA7"/>
    <w:rsid w:val="00566DD9"/>
    <w:rsid w:val="00567FDF"/>
    <w:rsid w:val="0057069E"/>
    <w:rsid w:val="00572CE2"/>
    <w:rsid w:val="00575931"/>
    <w:rsid w:val="005776EF"/>
    <w:rsid w:val="005779E4"/>
    <w:rsid w:val="005809B2"/>
    <w:rsid w:val="00581CD9"/>
    <w:rsid w:val="00583BF2"/>
    <w:rsid w:val="00584896"/>
    <w:rsid w:val="005865AC"/>
    <w:rsid w:val="0058672D"/>
    <w:rsid w:val="00587AC2"/>
    <w:rsid w:val="00590103"/>
    <w:rsid w:val="00591AC3"/>
    <w:rsid w:val="00592370"/>
    <w:rsid w:val="005957B0"/>
    <w:rsid w:val="005976F6"/>
    <w:rsid w:val="00597F08"/>
    <w:rsid w:val="005A1C6B"/>
    <w:rsid w:val="005A37D0"/>
    <w:rsid w:val="005A4A4D"/>
    <w:rsid w:val="005A624F"/>
    <w:rsid w:val="005A7621"/>
    <w:rsid w:val="005B03CC"/>
    <w:rsid w:val="005B0408"/>
    <w:rsid w:val="005B1A0C"/>
    <w:rsid w:val="005B3B18"/>
    <w:rsid w:val="005B4F03"/>
    <w:rsid w:val="005C0BB4"/>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22B5"/>
    <w:rsid w:val="0060368F"/>
    <w:rsid w:val="00605737"/>
    <w:rsid w:val="00605F77"/>
    <w:rsid w:val="00606539"/>
    <w:rsid w:val="00610954"/>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2A6F"/>
    <w:rsid w:val="0063392B"/>
    <w:rsid w:val="00634996"/>
    <w:rsid w:val="00635951"/>
    <w:rsid w:val="00642518"/>
    <w:rsid w:val="0064542D"/>
    <w:rsid w:val="00645685"/>
    <w:rsid w:val="00646DA5"/>
    <w:rsid w:val="0065441C"/>
    <w:rsid w:val="00654C4C"/>
    <w:rsid w:val="006555EB"/>
    <w:rsid w:val="0065564D"/>
    <w:rsid w:val="006574C7"/>
    <w:rsid w:val="0066026E"/>
    <w:rsid w:val="006606CB"/>
    <w:rsid w:val="00660B1D"/>
    <w:rsid w:val="00660ED0"/>
    <w:rsid w:val="006615B9"/>
    <w:rsid w:val="0066218A"/>
    <w:rsid w:val="00664BDD"/>
    <w:rsid w:val="00665A94"/>
    <w:rsid w:val="00667652"/>
    <w:rsid w:val="00680058"/>
    <w:rsid w:val="00680F01"/>
    <w:rsid w:val="00681762"/>
    <w:rsid w:val="006827AF"/>
    <w:rsid w:val="00682F4A"/>
    <w:rsid w:val="00687DD2"/>
    <w:rsid w:val="00695618"/>
    <w:rsid w:val="0069611F"/>
    <w:rsid w:val="00697FF0"/>
    <w:rsid w:val="006A071F"/>
    <w:rsid w:val="006A0D0A"/>
    <w:rsid w:val="006A27D2"/>
    <w:rsid w:val="006A42C4"/>
    <w:rsid w:val="006A5A9F"/>
    <w:rsid w:val="006A69F9"/>
    <w:rsid w:val="006B28CF"/>
    <w:rsid w:val="006B3140"/>
    <w:rsid w:val="006B31EB"/>
    <w:rsid w:val="006B560F"/>
    <w:rsid w:val="006B5768"/>
    <w:rsid w:val="006C0A53"/>
    <w:rsid w:val="006C32B3"/>
    <w:rsid w:val="006C3A2E"/>
    <w:rsid w:val="006C3EC4"/>
    <w:rsid w:val="006C5870"/>
    <w:rsid w:val="006C5CC8"/>
    <w:rsid w:val="006C792E"/>
    <w:rsid w:val="006C7EE5"/>
    <w:rsid w:val="006D0454"/>
    <w:rsid w:val="006D2431"/>
    <w:rsid w:val="006D4581"/>
    <w:rsid w:val="006D5C15"/>
    <w:rsid w:val="006D6C7B"/>
    <w:rsid w:val="006E1A21"/>
    <w:rsid w:val="006E2D57"/>
    <w:rsid w:val="006E39F9"/>
    <w:rsid w:val="006F0031"/>
    <w:rsid w:val="006F0C7A"/>
    <w:rsid w:val="006F1969"/>
    <w:rsid w:val="006F1C01"/>
    <w:rsid w:val="006F467C"/>
    <w:rsid w:val="006F59FB"/>
    <w:rsid w:val="006F79B7"/>
    <w:rsid w:val="006F7CD7"/>
    <w:rsid w:val="0070026F"/>
    <w:rsid w:val="00702017"/>
    <w:rsid w:val="00703436"/>
    <w:rsid w:val="00703901"/>
    <w:rsid w:val="00706524"/>
    <w:rsid w:val="00706A0F"/>
    <w:rsid w:val="00706B96"/>
    <w:rsid w:val="00707C3A"/>
    <w:rsid w:val="007108B2"/>
    <w:rsid w:val="007131DF"/>
    <w:rsid w:val="00715B2D"/>
    <w:rsid w:val="00717CEE"/>
    <w:rsid w:val="00720486"/>
    <w:rsid w:val="00721032"/>
    <w:rsid w:val="00721402"/>
    <w:rsid w:val="007225D7"/>
    <w:rsid w:val="0072287D"/>
    <w:rsid w:val="007301B3"/>
    <w:rsid w:val="00733E11"/>
    <w:rsid w:val="00735A5B"/>
    <w:rsid w:val="00740F4F"/>
    <w:rsid w:val="0074109B"/>
    <w:rsid w:val="00741CE7"/>
    <w:rsid w:val="00745C56"/>
    <w:rsid w:val="00752440"/>
    <w:rsid w:val="00753412"/>
    <w:rsid w:val="00753C4A"/>
    <w:rsid w:val="0075621B"/>
    <w:rsid w:val="007606E9"/>
    <w:rsid w:val="007615FF"/>
    <w:rsid w:val="00762A4A"/>
    <w:rsid w:val="007667E9"/>
    <w:rsid w:val="007674BF"/>
    <w:rsid w:val="00770A28"/>
    <w:rsid w:val="0077238B"/>
    <w:rsid w:val="00772D98"/>
    <w:rsid w:val="007735BE"/>
    <w:rsid w:val="00780172"/>
    <w:rsid w:val="0078096A"/>
    <w:rsid w:val="007811C7"/>
    <w:rsid w:val="00782785"/>
    <w:rsid w:val="00782BCB"/>
    <w:rsid w:val="0078439F"/>
    <w:rsid w:val="00784A22"/>
    <w:rsid w:val="00785B3F"/>
    <w:rsid w:val="00793AED"/>
    <w:rsid w:val="007945B7"/>
    <w:rsid w:val="00794731"/>
    <w:rsid w:val="00796448"/>
    <w:rsid w:val="007A0DAE"/>
    <w:rsid w:val="007A299C"/>
    <w:rsid w:val="007A5A0C"/>
    <w:rsid w:val="007A6063"/>
    <w:rsid w:val="007A646A"/>
    <w:rsid w:val="007A7FB2"/>
    <w:rsid w:val="007B5036"/>
    <w:rsid w:val="007B7A26"/>
    <w:rsid w:val="007C1957"/>
    <w:rsid w:val="007C1E8D"/>
    <w:rsid w:val="007C248B"/>
    <w:rsid w:val="007C40A5"/>
    <w:rsid w:val="007C5A0A"/>
    <w:rsid w:val="007C6C81"/>
    <w:rsid w:val="007D10B1"/>
    <w:rsid w:val="007D3279"/>
    <w:rsid w:val="007D4D75"/>
    <w:rsid w:val="007D50AB"/>
    <w:rsid w:val="007E05E0"/>
    <w:rsid w:val="007E0864"/>
    <w:rsid w:val="007E1184"/>
    <w:rsid w:val="007E2FDD"/>
    <w:rsid w:val="007E5925"/>
    <w:rsid w:val="007F1CAD"/>
    <w:rsid w:val="007F3C59"/>
    <w:rsid w:val="007F3F53"/>
    <w:rsid w:val="007F47CF"/>
    <w:rsid w:val="007F4967"/>
    <w:rsid w:val="007F5FF6"/>
    <w:rsid w:val="007F6414"/>
    <w:rsid w:val="007F6791"/>
    <w:rsid w:val="00800FAE"/>
    <w:rsid w:val="00802763"/>
    <w:rsid w:val="00803799"/>
    <w:rsid w:val="00804D6A"/>
    <w:rsid w:val="00805287"/>
    <w:rsid w:val="00805522"/>
    <w:rsid w:val="008062BF"/>
    <w:rsid w:val="0081153E"/>
    <w:rsid w:val="008119EA"/>
    <w:rsid w:val="00812BFB"/>
    <w:rsid w:val="00815445"/>
    <w:rsid w:val="008156BC"/>
    <w:rsid w:val="00820593"/>
    <w:rsid w:val="00821BF1"/>
    <w:rsid w:val="00822734"/>
    <w:rsid w:val="00825AAE"/>
    <w:rsid w:val="008341BA"/>
    <w:rsid w:val="00834BE7"/>
    <w:rsid w:val="00842380"/>
    <w:rsid w:val="008424A7"/>
    <w:rsid w:val="00846F71"/>
    <w:rsid w:val="00851D7E"/>
    <w:rsid w:val="00853D38"/>
    <w:rsid w:val="00854590"/>
    <w:rsid w:val="00854B7B"/>
    <w:rsid w:val="00854DEF"/>
    <w:rsid w:val="00854EE4"/>
    <w:rsid w:val="00856AC4"/>
    <w:rsid w:val="00862119"/>
    <w:rsid w:val="00865199"/>
    <w:rsid w:val="0086665A"/>
    <w:rsid w:val="00870FDD"/>
    <w:rsid w:val="00873F6E"/>
    <w:rsid w:val="00874070"/>
    <w:rsid w:val="008757E7"/>
    <w:rsid w:val="00875C7C"/>
    <w:rsid w:val="0088073A"/>
    <w:rsid w:val="00881168"/>
    <w:rsid w:val="0088201F"/>
    <w:rsid w:val="00882E19"/>
    <w:rsid w:val="008843F4"/>
    <w:rsid w:val="008849C7"/>
    <w:rsid w:val="0088618B"/>
    <w:rsid w:val="00893576"/>
    <w:rsid w:val="0089424C"/>
    <w:rsid w:val="0089431C"/>
    <w:rsid w:val="008969E5"/>
    <w:rsid w:val="008A0DD5"/>
    <w:rsid w:val="008A17D3"/>
    <w:rsid w:val="008A1D00"/>
    <w:rsid w:val="008A250A"/>
    <w:rsid w:val="008A4830"/>
    <w:rsid w:val="008A4BA7"/>
    <w:rsid w:val="008A56AB"/>
    <w:rsid w:val="008A6B71"/>
    <w:rsid w:val="008B026E"/>
    <w:rsid w:val="008B0EEB"/>
    <w:rsid w:val="008B0F08"/>
    <w:rsid w:val="008B0F81"/>
    <w:rsid w:val="008B2B3A"/>
    <w:rsid w:val="008B3436"/>
    <w:rsid w:val="008B3543"/>
    <w:rsid w:val="008B4684"/>
    <w:rsid w:val="008B4FA0"/>
    <w:rsid w:val="008B7A50"/>
    <w:rsid w:val="008C0AA9"/>
    <w:rsid w:val="008C1F2F"/>
    <w:rsid w:val="008C4437"/>
    <w:rsid w:val="008C6197"/>
    <w:rsid w:val="008C6DBE"/>
    <w:rsid w:val="008D10F9"/>
    <w:rsid w:val="008D23D3"/>
    <w:rsid w:val="008D48E5"/>
    <w:rsid w:val="008D4C5A"/>
    <w:rsid w:val="008D6A93"/>
    <w:rsid w:val="008E33C4"/>
    <w:rsid w:val="008E361C"/>
    <w:rsid w:val="008E399F"/>
    <w:rsid w:val="008E60DF"/>
    <w:rsid w:val="008F373E"/>
    <w:rsid w:val="008F3B6D"/>
    <w:rsid w:val="008F3F8E"/>
    <w:rsid w:val="008F45B2"/>
    <w:rsid w:val="008F5DC1"/>
    <w:rsid w:val="00901733"/>
    <w:rsid w:val="009019CD"/>
    <w:rsid w:val="00904D13"/>
    <w:rsid w:val="009124C7"/>
    <w:rsid w:val="00912A41"/>
    <w:rsid w:val="00912FDB"/>
    <w:rsid w:val="009259A0"/>
    <w:rsid w:val="00926C51"/>
    <w:rsid w:val="00927788"/>
    <w:rsid w:val="0093024B"/>
    <w:rsid w:val="00930A3A"/>
    <w:rsid w:val="0093161F"/>
    <w:rsid w:val="009345C7"/>
    <w:rsid w:val="00940AE2"/>
    <w:rsid w:val="00943B6D"/>
    <w:rsid w:val="0094746A"/>
    <w:rsid w:val="00950EBF"/>
    <w:rsid w:val="00951150"/>
    <w:rsid w:val="0095231B"/>
    <w:rsid w:val="00954130"/>
    <w:rsid w:val="009541D4"/>
    <w:rsid w:val="009615CC"/>
    <w:rsid w:val="00963C0E"/>
    <w:rsid w:val="00964659"/>
    <w:rsid w:val="009655C1"/>
    <w:rsid w:val="009678D2"/>
    <w:rsid w:val="00970315"/>
    <w:rsid w:val="00970B45"/>
    <w:rsid w:val="00970DAA"/>
    <w:rsid w:val="00970FB3"/>
    <w:rsid w:val="00971195"/>
    <w:rsid w:val="0097174B"/>
    <w:rsid w:val="0097571B"/>
    <w:rsid w:val="009800E1"/>
    <w:rsid w:val="009800FC"/>
    <w:rsid w:val="009829D7"/>
    <w:rsid w:val="009848B9"/>
    <w:rsid w:val="009858E4"/>
    <w:rsid w:val="00986189"/>
    <w:rsid w:val="009874C4"/>
    <w:rsid w:val="009902C2"/>
    <w:rsid w:val="009913DF"/>
    <w:rsid w:val="0099271D"/>
    <w:rsid w:val="009950A5"/>
    <w:rsid w:val="009957AB"/>
    <w:rsid w:val="00995C53"/>
    <w:rsid w:val="009A1E29"/>
    <w:rsid w:val="009A2B7F"/>
    <w:rsid w:val="009A334D"/>
    <w:rsid w:val="009A36DE"/>
    <w:rsid w:val="009A40AE"/>
    <w:rsid w:val="009A5E95"/>
    <w:rsid w:val="009A7FBB"/>
    <w:rsid w:val="009B0850"/>
    <w:rsid w:val="009B1172"/>
    <w:rsid w:val="009B1A4B"/>
    <w:rsid w:val="009B1E7D"/>
    <w:rsid w:val="009B3D8B"/>
    <w:rsid w:val="009B3E20"/>
    <w:rsid w:val="009B444A"/>
    <w:rsid w:val="009B44C1"/>
    <w:rsid w:val="009B49B8"/>
    <w:rsid w:val="009C0427"/>
    <w:rsid w:val="009C2210"/>
    <w:rsid w:val="009C2574"/>
    <w:rsid w:val="009C33D8"/>
    <w:rsid w:val="009C3CE8"/>
    <w:rsid w:val="009C5037"/>
    <w:rsid w:val="009C681F"/>
    <w:rsid w:val="009D0F40"/>
    <w:rsid w:val="009D1970"/>
    <w:rsid w:val="009D232E"/>
    <w:rsid w:val="009D58B1"/>
    <w:rsid w:val="009D5BB6"/>
    <w:rsid w:val="009D73E0"/>
    <w:rsid w:val="009D7698"/>
    <w:rsid w:val="009E164E"/>
    <w:rsid w:val="009E1DE7"/>
    <w:rsid w:val="009F10BF"/>
    <w:rsid w:val="009F374A"/>
    <w:rsid w:val="009F5539"/>
    <w:rsid w:val="009F7574"/>
    <w:rsid w:val="009F7E9B"/>
    <w:rsid w:val="00A00A21"/>
    <w:rsid w:val="00A01F58"/>
    <w:rsid w:val="00A036F8"/>
    <w:rsid w:val="00A058BE"/>
    <w:rsid w:val="00A05D03"/>
    <w:rsid w:val="00A069E9"/>
    <w:rsid w:val="00A06F1D"/>
    <w:rsid w:val="00A07FC1"/>
    <w:rsid w:val="00A1181E"/>
    <w:rsid w:val="00A11F45"/>
    <w:rsid w:val="00A124B9"/>
    <w:rsid w:val="00A146A2"/>
    <w:rsid w:val="00A15127"/>
    <w:rsid w:val="00A20476"/>
    <w:rsid w:val="00A20DCA"/>
    <w:rsid w:val="00A22097"/>
    <w:rsid w:val="00A22A7A"/>
    <w:rsid w:val="00A240F8"/>
    <w:rsid w:val="00A241D2"/>
    <w:rsid w:val="00A25184"/>
    <w:rsid w:val="00A25900"/>
    <w:rsid w:val="00A25989"/>
    <w:rsid w:val="00A25F07"/>
    <w:rsid w:val="00A271B2"/>
    <w:rsid w:val="00A2775B"/>
    <w:rsid w:val="00A3124A"/>
    <w:rsid w:val="00A32441"/>
    <w:rsid w:val="00A325F0"/>
    <w:rsid w:val="00A340A3"/>
    <w:rsid w:val="00A35093"/>
    <w:rsid w:val="00A36119"/>
    <w:rsid w:val="00A40371"/>
    <w:rsid w:val="00A410EC"/>
    <w:rsid w:val="00A41641"/>
    <w:rsid w:val="00A41907"/>
    <w:rsid w:val="00A444DC"/>
    <w:rsid w:val="00A445B7"/>
    <w:rsid w:val="00A44EEA"/>
    <w:rsid w:val="00A453B8"/>
    <w:rsid w:val="00A4568F"/>
    <w:rsid w:val="00A502C6"/>
    <w:rsid w:val="00A53148"/>
    <w:rsid w:val="00A53EC4"/>
    <w:rsid w:val="00A546D7"/>
    <w:rsid w:val="00A56FA4"/>
    <w:rsid w:val="00A6078F"/>
    <w:rsid w:val="00A6084B"/>
    <w:rsid w:val="00A6230C"/>
    <w:rsid w:val="00A62AB1"/>
    <w:rsid w:val="00A6357F"/>
    <w:rsid w:val="00A65F08"/>
    <w:rsid w:val="00A67F55"/>
    <w:rsid w:val="00A70B26"/>
    <w:rsid w:val="00A715C4"/>
    <w:rsid w:val="00A7255E"/>
    <w:rsid w:val="00A7379D"/>
    <w:rsid w:val="00A73CE9"/>
    <w:rsid w:val="00A74D9E"/>
    <w:rsid w:val="00A752C6"/>
    <w:rsid w:val="00A812A3"/>
    <w:rsid w:val="00A8226D"/>
    <w:rsid w:val="00A84A3E"/>
    <w:rsid w:val="00A84EC4"/>
    <w:rsid w:val="00A85356"/>
    <w:rsid w:val="00A85D89"/>
    <w:rsid w:val="00A864DB"/>
    <w:rsid w:val="00A8753F"/>
    <w:rsid w:val="00A87A12"/>
    <w:rsid w:val="00A907C5"/>
    <w:rsid w:val="00A90D75"/>
    <w:rsid w:val="00A92892"/>
    <w:rsid w:val="00A9743F"/>
    <w:rsid w:val="00A97C12"/>
    <w:rsid w:val="00AA1400"/>
    <w:rsid w:val="00AA251C"/>
    <w:rsid w:val="00AA3845"/>
    <w:rsid w:val="00AA3A0B"/>
    <w:rsid w:val="00AA3C14"/>
    <w:rsid w:val="00AA49AE"/>
    <w:rsid w:val="00AA5B39"/>
    <w:rsid w:val="00AB07D3"/>
    <w:rsid w:val="00AB09A1"/>
    <w:rsid w:val="00AB0CE1"/>
    <w:rsid w:val="00AB7B4A"/>
    <w:rsid w:val="00AB7E54"/>
    <w:rsid w:val="00AC1893"/>
    <w:rsid w:val="00AC4020"/>
    <w:rsid w:val="00AC4AFF"/>
    <w:rsid w:val="00AC61E8"/>
    <w:rsid w:val="00AC6529"/>
    <w:rsid w:val="00AC6BF9"/>
    <w:rsid w:val="00AC76B3"/>
    <w:rsid w:val="00AD1125"/>
    <w:rsid w:val="00AD270D"/>
    <w:rsid w:val="00AD2EEE"/>
    <w:rsid w:val="00AD2F52"/>
    <w:rsid w:val="00AD3AD3"/>
    <w:rsid w:val="00AD3C3F"/>
    <w:rsid w:val="00AD5CB2"/>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B00398"/>
    <w:rsid w:val="00B02498"/>
    <w:rsid w:val="00B024A0"/>
    <w:rsid w:val="00B03764"/>
    <w:rsid w:val="00B0559C"/>
    <w:rsid w:val="00B05E16"/>
    <w:rsid w:val="00B114E0"/>
    <w:rsid w:val="00B12992"/>
    <w:rsid w:val="00B1314A"/>
    <w:rsid w:val="00B158DA"/>
    <w:rsid w:val="00B20466"/>
    <w:rsid w:val="00B20ABF"/>
    <w:rsid w:val="00B21074"/>
    <w:rsid w:val="00B250B4"/>
    <w:rsid w:val="00B25D12"/>
    <w:rsid w:val="00B348F1"/>
    <w:rsid w:val="00B3581E"/>
    <w:rsid w:val="00B36D57"/>
    <w:rsid w:val="00B37DD6"/>
    <w:rsid w:val="00B422A3"/>
    <w:rsid w:val="00B4319A"/>
    <w:rsid w:val="00B43ACC"/>
    <w:rsid w:val="00B52D68"/>
    <w:rsid w:val="00B55A3A"/>
    <w:rsid w:val="00B57277"/>
    <w:rsid w:val="00B57377"/>
    <w:rsid w:val="00B602F5"/>
    <w:rsid w:val="00B62D1C"/>
    <w:rsid w:val="00B63FCA"/>
    <w:rsid w:val="00B64F79"/>
    <w:rsid w:val="00B6555D"/>
    <w:rsid w:val="00B65A53"/>
    <w:rsid w:val="00B75803"/>
    <w:rsid w:val="00B76C68"/>
    <w:rsid w:val="00B77624"/>
    <w:rsid w:val="00B8025C"/>
    <w:rsid w:val="00B83577"/>
    <w:rsid w:val="00B87534"/>
    <w:rsid w:val="00B87E0E"/>
    <w:rsid w:val="00B91592"/>
    <w:rsid w:val="00B9304D"/>
    <w:rsid w:val="00B95E80"/>
    <w:rsid w:val="00BA236A"/>
    <w:rsid w:val="00BA2CBD"/>
    <w:rsid w:val="00BA426D"/>
    <w:rsid w:val="00BA6A66"/>
    <w:rsid w:val="00BA6BBD"/>
    <w:rsid w:val="00BA7204"/>
    <w:rsid w:val="00BB0061"/>
    <w:rsid w:val="00BB0328"/>
    <w:rsid w:val="00BB0C68"/>
    <w:rsid w:val="00BB169E"/>
    <w:rsid w:val="00BB4465"/>
    <w:rsid w:val="00BB5B94"/>
    <w:rsid w:val="00BC03E4"/>
    <w:rsid w:val="00BC1210"/>
    <w:rsid w:val="00BC3F8D"/>
    <w:rsid w:val="00BC4784"/>
    <w:rsid w:val="00BC4C3A"/>
    <w:rsid w:val="00BD068E"/>
    <w:rsid w:val="00BD2C36"/>
    <w:rsid w:val="00BD3E6B"/>
    <w:rsid w:val="00BD573B"/>
    <w:rsid w:val="00BD5CAA"/>
    <w:rsid w:val="00BD7B93"/>
    <w:rsid w:val="00BD7C27"/>
    <w:rsid w:val="00BE0F56"/>
    <w:rsid w:val="00BE1C62"/>
    <w:rsid w:val="00BE70B4"/>
    <w:rsid w:val="00BE7728"/>
    <w:rsid w:val="00BF020D"/>
    <w:rsid w:val="00BF3A48"/>
    <w:rsid w:val="00BF550E"/>
    <w:rsid w:val="00BF65EF"/>
    <w:rsid w:val="00C002A0"/>
    <w:rsid w:val="00C00464"/>
    <w:rsid w:val="00C018AE"/>
    <w:rsid w:val="00C041A8"/>
    <w:rsid w:val="00C0514F"/>
    <w:rsid w:val="00C05C1B"/>
    <w:rsid w:val="00C06E1F"/>
    <w:rsid w:val="00C06E3B"/>
    <w:rsid w:val="00C07337"/>
    <w:rsid w:val="00C103AB"/>
    <w:rsid w:val="00C10630"/>
    <w:rsid w:val="00C110CF"/>
    <w:rsid w:val="00C132DA"/>
    <w:rsid w:val="00C14E49"/>
    <w:rsid w:val="00C162CA"/>
    <w:rsid w:val="00C17072"/>
    <w:rsid w:val="00C1757C"/>
    <w:rsid w:val="00C2226D"/>
    <w:rsid w:val="00C22CEC"/>
    <w:rsid w:val="00C22E1E"/>
    <w:rsid w:val="00C23975"/>
    <w:rsid w:val="00C23CCE"/>
    <w:rsid w:val="00C2608B"/>
    <w:rsid w:val="00C32080"/>
    <w:rsid w:val="00C325F8"/>
    <w:rsid w:val="00C3270B"/>
    <w:rsid w:val="00C37138"/>
    <w:rsid w:val="00C37A40"/>
    <w:rsid w:val="00C40238"/>
    <w:rsid w:val="00C41094"/>
    <w:rsid w:val="00C41632"/>
    <w:rsid w:val="00C41664"/>
    <w:rsid w:val="00C43D18"/>
    <w:rsid w:val="00C4531B"/>
    <w:rsid w:val="00C45A5A"/>
    <w:rsid w:val="00C45BAA"/>
    <w:rsid w:val="00C47659"/>
    <w:rsid w:val="00C50C39"/>
    <w:rsid w:val="00C50F15"/>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74160"/>
    <w:rsid w:val="00C86279"/>
    <w:rsid w:val="00C86F7A"/>
    <w:rsid w:val="00C91C47"/>
    <w:rsid w:val="00C92A7D"/>
    <w:rsid w:val="00C94A65"/>
    <w:rsid w:val="00C95FDE"/>
    <w:rsid w:val="00C96783"/>
    <w:rsid w:val="00CA1DCD"/>
    <w:rsid w:val="00CA28D5"/>
    <w:rsid w:val="00CA29E4"/>
    <w:rsid w:val="00CA2A5C"/>
    <w:rsid w:val="00CA3F7B"/>
    <w:rsid w:val="00CA69B0"/>
    <w:rsid w:val="00CA6AC3"/>
    <w:rsid w:val="00CA6D1F"/>
    <w:rsid w:val="00CA7E46"/>
    <w:rsid w:val="00CB1153"/>
    <w:rsid w:val="00CB3CD4"/>
    <w:rsid w:val="00CB421C"/>
    <w:rsid w:val="00CB497A"/>
    <w:rsid w:val="00CB549F"/>
    <w:rsid w:val="00CB5744"/>
    <w:rsid w:val="00CB73B7"/>
    <w:rsid w:val="00CB7C5E"/>
    <w:rsid w:val="00CC1163"/>
    <w:rsid w:val="00CC23DD"/>
    <w:rsid w:val="00CC6EE7"/>
    <w:rsid w:val="00CD3BD8"/>
    <w:rsid w:val="00CE0BAD"/>
    <w:rsid w:val="00CE2C98"/>
    <w:rsid w:val="00CE64EF"/>
    <w:rsid w:val="00CE676B"/>
    <w:rsid w:val="00CF02AF"/>
    <w:rsid w:val="00CF3651"/>
    <w:rsid w:val="00D004F7"/>
    <w:rsid w:val="00D0142E"/>
    <w:rsid w:val="00D05F37"/>
    <w:rsid w:val="00D07BC8"/>
    <w:rsid w:val="00D12C42"/>
    <w:rsid w:val="00D1539A"/>
    <w:rsid w:val="00D179C1"/>
    <w:rsid w:val="00D202C1"/>
    <w:rsid w:val="00D207E2"/>
    <w:rsid w:val="00D21D7D"/>
    <w:rsid w:val="00D23534"/>
    <w:rsid w:val="00D254BC"/>
    <w:rsid w:val="00D25B55"/>
    <w:rsid w:val="00D27A10"/>
    <w:rsid w:val="00D3040E"/>
    <w:rsid w:val="00D32CBC"/>
    <w:rsid w:val="00D355FB"/>
    <w:rsid w:val="00D36793"/>
    <w:rsid w:val="00D36E5B"/>
    <w:rsid w:val="00D37670"/>
    <w:rsid w:val="00D40F32"/>
    <w:rsid w:val="00D43664"/>
    <w:rsid w:val="00D43693"/>
    <w:rsid w:val="00D44342"/>
    <w:rsid w:val="00D44421"/>
    <w:rsid w:val="00D44C78"/>
    <w:rsid w:val="00D5203F"/>
    <w:rsid w:val="00D53D9D"/>
    <w:rsid w:val="00D53E21"/>
    <w:rsid w:val="00D55919"/>
    <w:rsid w:val="00D57CAA"/>
    <w:rsid w:val="00D63B62"/>
    <w:rsid w:val="00D64249"/>
    <w:rsid w:val="00D64A23"/>
    <w:rsid w:val="00D65802"/>
    <w:rsid w:val="00D67E3A"/>
    <w:rsid w:val="00D7024F"/>
    <w:rsid w:val="00D741DA"/>
    <w:rsid w:val="00D75C9A"/>
    <w:rsid w:val="00D80FC9"/>
    <w:rsid w:val="00D8272C"/>
    <w:rsid w:val="00D846E7"/>
    <w:rsid w:val="00D85347"/>
    <w:rsid w:val="00D86EEF"/>
    <w:rsid w:val="00D87639"/>
    <w:rsid w:val="00D9254D"/>
    <w:rsid w:val="00D92A8D"/>
    <w:rsid w:val="00D9315E"/>
    <w:rsid w:val="00D931E6"/>
    <w:rsid w:val="00D936D4"/>
    <w:rsid w:val="00D944EC"/>
    <w:rsid w:val="00D94E47"/>
    <w:rsid w:val="00D973EF"/>
    <w:rsid w:val="00D9744E"/>
    <w:rsid w:val="00D97969"/>
    <w:rsid w:val="00D97ED0"/>
    <w:rsid w:val="00DA25AE"/>
    <w:rsid w:val="00DA34CC"/>
    <w:rsid w:val="00DA38A0"/>
    <w:rsid w:val="00DA7299"/>
    <w:rsid w:val="00DA7BF6"/>
    <w:rsid w:val="00DB0ACF"/>
    <w:rsid w:val="00DB0B69"/>
    <w:rsid w:val="00DB1D92"/>
    <w:rsid w:val="00DB29D4"/>
    <w:rsid w:val="00DB65FB"/>
    <w:rsid w:val="00DB6EBB"/>
    <w:rsid w:val="00DC261A"/>
    <w:rsid w:val="00DC2F10"/>
    <w:rsid w:val="00DC2FC7"/>
    <w:rsid w:val="00DC54F5"/>
    <w:rsid w:val="00DD2A3B"/>
    <w:rsid w:val="00DD3A04"/>
    <w:rsid w:val="00DD518F"/>
    <w:rsid w:val="00DD5B03"/>
    <w:rsid w:val="00DD6941"/>
    <w:rsid w:val="00DE14D4"/>
    <w:rsid w:val="00DE2357"/>
    <w:rsid w:val="00DE2559"/>
    <w:rsid w:val="00DE462B"/>
    <w:rsid w:val="00DE68B3"/>
    <w:rsid w:val="00DE711F"/>
    <w:rsid w:val="00DF0467"/>
    <w:rsid w:val="00DF228F"/>
    <w:rsid w:val="00DF3391"/>
    <w:rsid w:val="00DF4CD3"/>
    <w:rsid w:val="00DF6E26"/>
    <w:rsid w:val="00DF7434"/>
    <w:rsid w:val="00DF7A1F"/>
    <w:rsid w:val="00E015D9"/>
    <w:rsid w:val="00E01ED3"/>
    <w:rsid w:val="00E02121"/>
    <w:rsid w:val="00E0245D"/>
    <w:rsid w:val="00E0304E"/>
    <w:rsid w:val="00E03D74"/>
    <w:rsid w:val="00E109CF"/>
    <w:rsid w:val="00E11B22"/>
    <w:rsid w:val="00E1238F"/>
    <w:rsid w:val="00E12D21"/>
    <w:rsid w:val="00E13AFF"/>
    <w:rsid w:val="00E13F1B"/>
    <w:rsid w:val="00E148B4"/>
    <w:rsid w:val="00E15282"/>
    <w:rsid w:val="00E15A9C"/>
    <w:rsid w:val="00E1620F"/>
    <w:rsid w:val="00E162DC"/>
    <w:rsid w:val="00E21877"/>
    <w:rsid w:val="00E21DA7"/>
    <w:rsid w:val="00E22140"/>
    <w:rsid w:val="00E25434"/>
    <w:rsid w:val="00E30D5E"/>
    <w:rsid w:val="00E31D0E"/>
    <w:rsid w:val="00E345B3"/>
    <w:rsid w:val="00E351B1"/>
    <w:rsid w:val="00E35D65"/>
    <w:rsid w:val="00E37C1C"/>
    <w:rsid w:val="00E47D6D"/>
    <w:rsid w:val="00E5062C"/>
    <w:rsid w:val="00E51496"/>
    <w:rsid w:val="00E5261F"/>
    <w:rsid w:val="00E52A1A"/>
    <w:rsid w:val="00E54656"/>
    <w:rsid w:val="00E5691A"/>
    <w:rsid w:val="00E57B98"/>
    <w:rsid w:val="00E57F7A"/>
    <w:rsid w:val="00E639A2"/>
    <w:rsid w:val="00E64057"/>
    <w:rsid w:val="00E64B81"/>
    <w:rsid w:val="00E64CB5"/>
    <w:rsid w:val="00E65E1E"/>
    <w:rsid w:val="00E66294"/>
    <w:rsid w:val="00E66444"/>
    <w:rsid w:val="00E73B00"/>
    <w:rsid w:val="00E741A9"/>
    <w:rsid w:val="00E751F3"/>
    <w:rsid w:val="00E75D46"/>
    <w:rsid w:val="00E775E0"/>
    <w:rsid w:val="00E80B32"/>
    <w:rsid w:val="00E8285D"/>
    <w:rsid w:val="00E831E8"/>
    <w:rsid w:val="00E83B29"/>
    <w:rsid w:val="00E84FCE"/>
    <w:rsid w:val="00E87E55"/>
    <w:rsid w:val="00E925B8"/>
    <w:rsid w:val="00E92C53"/>
    <w:rsid w:val="00E9325E"/>
    <w:rsid w:val="00E95DC1"/>
    <w:rsid w:val="00E96E14"/>
    <w:rsid w:val="00E976ED"/>
    <w:rsid w:val="00EA0F8E"/>
    <w:rsid w:val="00EA1EFD"/>
    <w:rsid w:val="00EA463C"/>
    <w:rsid w:val="00EA5F8A"/>
    <w:rsid w:val="00EA60EA"/>
    <w:rsid w:val="00EA636B"/>
    <w:rsid w:val="00EB002C"/>
    <w:rsid w:val="00EB0285"/>
    <w:rsid w:val="00EB0DF9"/>
    <w:rsid w:val="00EB337B"/>
    <w:rsid w:val="00EB431E"/>
    <w:rsid w:val="00EB76D3"/>
    <w:rsid w:val="00EC12AC"/>
    <w:rsid w:val="00EC1BA5"/>
    <w:rsid w:val="00EC29ED"/>
    <w:rsid w:val="00EC4DD1"/>
    <w:rsid w:val="00ED0002"/>
    <w:rsid w:val="00ED07ED"/>
    <w:rsid w:val="00ED0D92"/>
    <w:rsid w:val="00ED0FEE"/>
    <w:rsid w:val="00ED289D"/>
    <w:rsid w:val="00ED52FC"/>
    <w:rsid w:val="00ED537F"/>
    <w:rsid w:val="00EE1037"/>
    <w:rsid w:val="00EE350C"/>
    <w:rsid w:val="00EE4474"/>
    <w:rsid w:val="00EE7475"/>
    <w:rsid w:val="00EE791B"/>
    <w:rsid w:val="00EE7C92"/>
    <w:rsid w:val="00EE7E3E"/>
    <w:rsid w:val="00EF1A5E"/>
    <w:rsid w:val="00EF3478"/>
    <w:rsid w:val="00EF5086"/>
    <w:rsid w:val="00EF66BE"/>
    <w:rsid w:val="00EF7911"/>
    <w:rsid w:val="00F017FC"/>
    <w:rsid w:val="00F041AF"/>
    <w:rsid w:val="00F04848"/>
    <w:rsid w:val="00F05088"/>
    <w:rsid w:val="00F0600C"/>
    <w:rsid w:val="00F07B3C"/>
    <w:rsid w:val="00F07D0A"/>
    <w:rsid w:val="00F11624"/>
    <w:rsid w:val="00F128AF"/>
    <w:rsid w:val="00F1544F"/>
    <w:rsid w:val="00F15C90"/>
    <w:rsid w:val="00F16328"/>
    <w:rsid w:val="00F165BD"/>
    <w:rsid w:val="00F1795F"/>
    <w:rsid w:val="00F20FBE"/>
    <w:rsid w:val="00F22822"/>
    <w:rsid w:val="00F22874"/>
    <w:rsid w:val="00F25268"/>
    <w:rsid w:val="00F268BB"/>
    <w:rsid w:val="00F270BE"/>
    <w:rsid w:val="00F3050A"/>
    <w:rsid w:val="00F31EA4"/>
    <w:rsid w:val="00F33D9C"/>
    <w:rsid w:val="00F341C2"/>
    <w:rsid w:val="00F359D2"/>
    <w:rsid w:val="00F35EAA"/>
    <w:rsid w:val="00F3691A"/>
    <w:rsid w:val="00F400A3"/>
    <w:rsid w:val="00F40F5D"/>
    <w:rsid w:val="00F423B6"/>
    <w:rsid w:val="00F427F9"/>
    <w:rsid w:val="00F429A0"/>
    <w:rsid w:val="00F42BEC"/>
    <w:rsid w:val="00F438ED"/>
    <w:rsid w:val="00F4713E"/>
    <w:rsid w:val="00F50604"/>
    <w:rsid w:val="00F50A2A"/>
    <w:rsid w:val="00F51F39"/>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67A"/>
    <w:rsid w:val="00F75B27"/>
    <w:rsid w:val="00F768B0"/>
    <w:rsid w:val="00F813F3"/>
    <w:rsid w:val="00F828BF"/>
    <w:rsid w:val="00F835AE"/>
    <w:rsid w:val="00F87287"/>
    <w:rsid w:val="00F87B7A"/>
    <w:rsid w:val="00F904D5"/>
    <w:rsid w:val="00F917A6"/>
    <w:rsid w:val="00F919DC"/>
    <w:rsid w:val="00F925AC"/>
    <w:rsid w:val="00F9401C"/>
    <w:rsid w:val="00F970D8"/>
    <w:rsid w:val="00F97B5F"/>
    <w:rsid w:val="00F97C20"/>
    <w:rsid w:val="00FA1F43"/>
    <w:rsid w:val="00FA3363"/>
    <w:rsid w:val="00FA378E"/>
    <w:rsid w:val="00FA475A"/>
    <w:rsid w:val="00FB3C9D"/>
    <w:rsid w:val="00FB3EF0"/>
    <w:rsid w:val="00FB62CF"/>
    <w:rsid w:val="00FC01BA"/>
    <w:rsid w:val="00FC07FE"/>
    <w:rsid w:val="00FC1485"/>
    <w:rsid w:val="00FC2320"/>
    <w:rsid w:val="00FC33C8"/>
    <w:rsid w:val="00FC36CA"/>
    <w:rsid w:val="00FC6C49"/>
    <w:rsid w:val="00FD06D2"/>
    <w:rsid w:val="00FD15B9"/>
    <w:rsid w:val="00FD1715"/>
    <w:rsid w:val="00FD4049"/>
    <w:rsid w:val="00FD571C"/>
    <w:rsid w:val="00FE085C"/>
    <w:rsid w:val="00FE1D14"/>
    <w:rsid w:val="00FE2A77"/>
    <w:rsid w:val="00FE3C5D"/>
    <w:rsid w:val="00FE4754"/>
    <w:rsid w:val="00FE4BF9"/>
    <w:rsid w:val="00FE5449"/>
    <w:rsid w:val="00FE6A8C"/>
    <w:rsid w:val="00FE70C3"/>
    <w:rsid w:val="00FE7628"/>
    <w:rsid w:val="00FF0502"/>
    <w:rsid w:val="00FF0F5B"/>
    <w:rsid w:val="00FF2AF9"/>
    <w:rsid w:val="00FF357D"/>
    <w:rsid w:val="00FF36F0"/>
    <w:rsid w:val="00FF41A0"/>
    <w:rsid w:val="00FF618A"/>
    <w:rsid w:val="00FF7685"/>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Comments">
    <w:name w:val="Comments"/>
    <w:basedOn w:val="a0"/>
    <w:link w:val="CommentsChar"/>
    <w:qFormat/>
    <w:rsid w:val="007674BF"/>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7674B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9775">
      <w:bodyDiv w:val="1"/>
      <w:marLeft w:val="0"/>
      <w:marRight w:val="0"/>
      <w:marTop w:val="0"/>
      <w:marBottom w:val="0"/>
      <w:divBdr>
        <w:top w:val="none" w:sz="0" w:space="0" w:color="auto"/>
        <w:left w:val="none" w:sz="0" w:space="0" w:color="auto"/>
        <w:bottom w:val="none" w:sz="0" w:space="0" w:color="auto"/>
        <w:right w:val="none" w:sz="0" w:space="0" w:color="auto"/>
      </w:divBdr>
      <w:divsChild>
        <w:div w:id="636841538">
          <w:marLeft w:val="1080"/>
          <w:marRight w:val="0"/>
          <w:marTop w:val="0"/>
          <w:marBottom w:val="0"/>
          <w:divBdr>
            <w:top w:val="none" w:sz="0" w:space="0" w:color="auto"/>
            <w:left w:val="none" w:sz="0" w:space="0" w:color="auto"/>
            <w:bottom w:val="none" w:sz="0" w:space="0" w:color="auto"/>
            <w:right w:val="none" w:sz="0" w:space="0" w:color="auto"/>
          </w:divBdr>
        </w:div>
      </w:divsChild>
    </w:div>
    <w:div w:id="363410225">
      <w:bodyDiv w:val="1"/>
      <w:marLeft w:val="0"/>
      <w:marRight w:val="0"/>
      <w:marTop w:val="0"/>
      <w:marBottom w:val="0"/>
      <w:divBdr>
        <w:top w:val="none" w:sz="0" w:space="0" w:color="auto"/>
        <w:left w:val="none" w:sz="0" w:space="0" w:color="auto"/>
        <w:bottom w:val="none" w:sz="0" w:space="0" w:color="auto"/>
        <w:right w:val="none" w:sz="0" w:space="0" w:color="auto"/>
      </w:divBdr>
    </w:div>
    <w:div w:id="791632578">
      <w:bodyDiv w:val="1"/>
      <w:marLeft w:val="0"/>
      <w:marRight w:val="0"/>
      <w:marTop w:val="0"/>
      <w:marBottom w:val="0"/>
      <w:divBdr>
        <w:top w:val="none" w:sz="0" w:space="0" w:color="auto"/>
        <w:left w:val="none" w:sz="0" w:space="0" w:color="auto"/>
        <w:bottom w:val="none" w:sz="0" w:space="0" w:color="auto"/>
        <w:right w:val="none" w:sz="0" w:space="0" w:color="auto"/>
      </w:divBdr>
      <w:divsChild>
        <w:div w:id="1908422090">
          <w:marLeft w:val="1080"/>
          <w:marRight w:val="0"/>
          <w:marTop w:val="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onlyoffice.com/commentsDocument" Target="comments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66D61-066B-4114-AFAD-315D996B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1096</Words>
  <Characters>5527</Characters>
  <Application>Microsoft Office Word</Application>
  <DocSecurity>0</DocSecurity>
  <Lines>1105</Lines>
  <Paragraphs>331</Paragraphs>
  <ScaleCrop>false</ScaleCrop>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Zhe Fu</cp:lastModifiedBy>
  <cp:revision>12</cp:revision>
  <dcterms:created xsi:type="dcterms:W3CDTF">2022-11-03T09:59:00Z</dcterms:created>
  <dcterms:modified xsi:type="dcterms:W3CDTF">2022-11-04T06:35:00Z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ies>
</file>